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mẫu Peru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Comis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Comis;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không ưu đãi mẫu Peru đã được khai hoàn chỉnh (theo mẫu quy định tại Quyết định cấp Bộ số 198-2003-MINCETUR/DM ngày 26/5/2003);</w:t>
            </w:r>
          </w:p>
        </w:tc>
        <w:tc>
          <w:p/>
          <w:p>
            <w:pPr>
              <w:spacing w:after="0" w:before="0" w:lineRule="auto" w:line="276"/>
              <w:jc w:val="left"/>
            </w:pPr>
            <w:r>
              <w:rPr>
                <w:rFonts w:ascii="Times New Roman" w:hAnsi="Times New Roman" w:cs="Times New Roman" w:eastAsia="Times New Roman"/>
                <w:b w:val="false"/>
                <w:sz w:val="26"/>
              </w:rPr>
              <w:t>Mau Peru.docx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không ưu đãi Mẫu Peru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Quy định chi tiết Luật Quản lý ngoại thương về xuất xứ hàng hoá</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Quy định về xuất xứ hàng hóa</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2026-05-27T18:57:33Z</dcterms:created>
  <dc:creator>Apache POI</dc:creator>
</cp:coreProperties>
</file>