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thông hành nhập, xuất cảnh cho công dân Việt Nam sang du lịch các tỉnh, thành phố biên giới Trung Quốc tiếp giáp với Việt Nam tại Công an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Cán bộ, viên chức, công nhân thuộc tỉnh có chung đường biên giới với Cămpuchia; cán bộ, viên chức, công nhân thuộc các ngành ở Trung ương và các tỉnh khác có trụ sở đóng ở tỉnh có chung đường biên giới với Cămpuchia có nhu cầu sang tỉnh biên giới đối diện của Cămpuchia công tác nộp hồ sơ tại Phòng Quản lý xuất nhập cảnh, Công an tỉnh có chung đường biên giới Cămpuchia nơi có trụ sở.
Cán bộ, viên chức, công nhân có thể ủy thác cho cơ quan, tổ chức, doanh nghiệp mình đang làm việc nộp hồ sơ và nhận kết quả. Nếu đề nghị cấp giấy thông hành cho nhiều người phải kèm theo danh sách có chữ ký, đóng dấu của cơ quan, tổ chức, doanh nghiệp đó. Cán bộ, nhân viên khi nộp hồ sơ và nhận kết quả phải xuất trình giấy giới thiệu, chứng minh nhân dân của bản thân.
          Cán bộ tiếp nhận hồ sơ kiểm tra tính pháp lý và nội dung hồ sơ:
          Nếu hồ sơ đầy đủ, hợp lệ thì nhận hồ sơ, in giấy biên nhận và yêu cầu nộp lệ phí cho cán bộ thu lệ phí. Cán bộ thu lệ phí nhận tiền, in (viết) biên lai lệ phí và trao giấy biên nhận cùng biên lai lệ phí cho người nộp hồ sơ.
          Nếu hồ sơ chưa hợp lệ thì cán bộ tiếp nhận hồ sơ hướng dẫn người nộp bổ sung hồ sơ cho đầy đủ.
          * Thời gian nhận hồ sơ: từ thứ 2 đến thứ 7 hàng tuần (trừ ngày lễ, tết).</w:t>
      </w:r>
    </w:p>
    <w:p>
      <w:pPr>
        <w:spacing w:after="0" w:before="0" w:lineRule="auto" w:line="276"/>
        <w:jc w:val="both"/>
      </w:pPr>
      <w:r>
        <w:rPr>
          <w:rFonts w:ascii="Times New Roman" w:hAnsi="Times New Roman" w:cs="Times New Roman" w:eastAsia="Times New Roman"/>
          <w:b w:val="false"/>
          <w:sz w:val="26"/>
        </w:rPr>
        <w:t xml:space="preserve">Bước 3: trả kết quả.
Người nhận đưa giấy biên nhận, biên lai thu tiền cho cán bộ trả kết quả để đối chiếu, nếu đầy đủ và đúng người thì yêu cầu ký nhận và trả giấy thông hành biên giới cho người đến nhận kết quả.
          * Thời gian trả kết quả: từ thứ 2 đến thứ 7 hàng tuần (trừ ngày lễ, tết).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Lệ phí : 5000 Đồng</w:t>
              <w:t xml:space="preserve"> (5.000 đồng/giấy thông hành xuất, nhập cảnh vùng biên giới.)</w:t>
            </w:r>
          </w:p>
        </w:tc>
        <w:tc>
          <w:p/>
          <w:p>
            <w:pPr>
              <w:spacing w:after="0" w:before="0" w:lineRule="auto" w:line="276"/>
              <w:jc w:val="left"/>
            </w:pPr>
            <w:r>
              <w:rPr>
                <w:rFonts w:ascii="Times New Roman" w:hAnsi="Times New Roman" w:cs="Times New Roman" w:eastAsia="Times New Roman"/>
                <w:b w:val="false"/>
                <w:sz w:val="26"/>
              </w:rPr>
              <w:t xml:space="preserve">03 ngày làm việc kể từ khi nhận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Số bộ hồ sơ 01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4cmx6cm, mặt nhìn thẳng, đầu để trần, phông nền trắng.  * Trường hợp cấp lại giấy thông hành biên giới xuất, nhập cảnh do bị mất, ngoài thành phần hồ sơ trên, thì nộp kèm đơn trình báo về việc bị mất giấy thông hành xuất, nhập cảnh vùng biên giới (không cần xác nhận của Công an cấp xã nơi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đề nghị cấp giấy thông hành biên giới (mẫu TK6 ban hành theo Thông tư số 42/2011/TT-BCA, ngày 29/6/2011 của Bộ Công an), có xác nhận và dấu giáp lai ảnh của cơ quan quản lý trực tiếp</w:t>
            </w:r>
          </w:p>
        </w:tc>
        <w:tc>
          <w:p/>
          <w:p>
            <w:pPr>
              <w:spacing w:after="0" w:before="0" w:lineRule="auto" w:line="276"/>
              <w:jc w:val="left"/>
            </w:pPr>
            <w:r>
              <w:rPr>
                <w:rFonts w:ascii="Times New Roman" w:hAnsi="Times New Roman" w:cs="Times New Roman" w:eastAsia="Times New Roman"/>
                <w:b w:val="false"/>
                <w:sz w:val="26"/>
              </w:rPr>
              <w:t>18-Mẫu TK8.doc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Phòng Quản lý xuất nhập cảnh, Công an tỉnh, thành phố có chung đường biên giới với Trung Quốc.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thông hành nhập xuất cảnh.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136/2007/NĐ-CP</w:t>
            </w:r>
          </w:p>
        </w:tc>
        <w:tc>
          <w:p/>
          <w:p>
            <w:pPr>
              <w:spacing w:after="0" w:before="0" w:lineRule="auto" w:line="276"/>
              <w:jc w:val="left"/>
            </w:pPr>
            <w:r>
              <w:rPr>
                <w:rFonts w:ascii="Times New Roman" w:hAnsi="Times New Roman" w:cs="Times New Roman" w:eastAsia="Times New Roman"/>
                <w:b w:val="false"/>
                <w:sz w:val="26"/>
              </w:rPr>
              <w:t>Nghị định 136/2007/NĐ-CP</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66/2009/TT-BTC </w:t>
            </w:r>
          </w:p>
        </w:tc>
        <w:tc>
          <w:p/>
          <w:p>
            <w:pPr>
              <w:spacing w:after="0" w:before="0" w:lineRule="auto" w:line="276"/>
              <w:jc w:val="left"/>
            </w:pPr>
            <w:r>
              <w:rPr>
                <w:rFonts w:ascii="Times New Roman" w:hAnsi="Times New Roman" w:cs="Times New Roman" w:eastAsia="Times New Roman"/>
                <w:b w:val="false"/>
                <w:sz w:val="26"/>
              </w:rPr>
              <w:t>Thông tư 66/2009/TT-BTC</w:t>
            </w:r>
          </w:p>
        </w:tc>
        <w:tc>
          <w:p/>
          <w:p>
            <w:pPr>
              <w:spacing w:after="0" w:before="0" w:lineRule="auto" w:line="276"/>
              <w:jc w:val="left"/>
            </w:pPr>
            <w:r>
              <w:rPr>
                <w:rFonts w:ascii="Times New Roman" w:hAnsi="Times New Roman" w:cs="Times New Roman" w:eastAsia="Times New Roman"/>
                <w:b w:val="false"/>
                <w:sz w:val="26"/>
              </w:rPr>
              <w:t>30-03-2009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43/2011/TT-BCA</w:t>
            </w:r>
          </w:p>
        </w:tc>
        <w:tc>
          <w:p/>
          <w:p>
            <w:pPr>
              <w:spacing w:after="0" w:before="0" w:lineRule="auto" w:line="276"/>
              <w:jc w:val="left"/>
            </w:pPr>
            <w:r>
              <w:rPr>
                <w:rFonts w:ascii="Times New Roman" w:hAnsi="Times New Roman" w:cs="Times New Roman" w:eastAsia="Times New Roman"/>
                <w:b w:val="false"/>
                <w:sz w:val="26"/>
              </w:rPr>
              <w:t>Thông tư 	43/2011/TT-BCA</w:t>
            </w:r>
          </w:p>
        </w:tc>
        <w:tc>
          <w:p/>
          <w:p>
            <w:pPr>
              <w:spacing w:after="0" w:before="0" w:lineRule="auto" w:line="276"/>
              <w:jc w:val="left"/>
            </w:pPr>
            <w:r>
              <w:rPr>
                <w:rFonts w:ascii="Times New Roman" w:hAnsi="Times New Roman" w:cs="Times New Roman" w:eastAsia="Times New Roman"/>
                <w:b w:val="false"/>
                <w:sz w:val="26"/>
              </w:rPr>
              <w:t>29-06-2011</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đúng đối tượng được cấp giấy thông hành là cán bộ, viên chức, công nhân thuộc tỉnh có chung đường biên giới với Trung Quốc; cán bộ, viên chức, công nhân thuộc các ngành ở Trung ương và các tỉnh khác có trụ sở đóng ở tỉnh có chung đường biên giới với Trung Quốc có nhu cầu sang tỉnh biên giới đối diện của Trung Quốc công tác.
+ Không thuộc một trong các diện chưa được xuất cảnh theo quy định của pháp luật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2026-05-03T15:22:50Z</dcterms:created>
  <dc:creator>Apache POI</dc:creator>
</cp:coreProperties>
</file>