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2.001491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6184/QĐ-BQP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Giấp phép xuất khẩu, nhập khẩu sản phẩm mật mã dân sự</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Mật mã dân sự</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Bước 1: Doanh nghiệp lập hồ sơ đề nghị cấp Giấy phép gửi Ban Cơ yếu Chính phủ thông qua Cục Quản lý mật mã dân sự và Kiểm định sản phẩm mật mã. Đại chỉ như sau:
Số điện thoại/số fax: 04-3775.6896;
Thư điện tử: info@nacis.gov.vn;
Website: http://www.nacis.gov.vn.</w:t>
      </w:r>
    </w:p>
    <w:p>
      <w:pPr>
        <w:spacing w:after="0" w:before="0" w:lineRule="auto" w:line="276"/>
        <w:jc w:val="both"/>
      </w:pPr>
      <w:r>
        <w:rPr>
          <w:rFonts w:ascii="Times New Roman" w:hAnsi="Times New Roman" w:cs="Times New Roman" w:eastAsia="Times New Roman"/>
          <w:b w:val="false"/>
          <w:sz w:val="26"/>
        </w:rPr>
        <w:t>Bước 2: Trong thời hạn 10 ngày làm việc kể từ ngày nhận đủ hồ sơ, Ban Cơ yếu Chính phủ thẩm định và cấp Giấy phép xuất khẩu, nhập khẩu sản phẩm mật mã dân sự cho doanh nghiệp; trường hợp từ chối cấp thì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hoặc qua hệ thống bưu chính, hoặc dịch vụ công trực tuyến.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Giấy phép xuất khẩu, nhập khẩu sản phẩm mật mã dân sự;</w:t>
            </w:r>
          </w:p>
        </w:tc>
        <w:tc>
          <w:p/>
          <w:p>
            <w:pPr>
              <w:spacing w:after="0" w:before="0" w:lineRule="auto" w:line="276"/>
              <w:jc w:val="left"/>
            </w:pPr>
            <w:r>
              <w:rPr>
                <w:rFonts w:ascii="Times New Roman" w:hAnsi="Times New Roman" w:cs="Times New Roman" w:eastAsia="Times New Roman"/>
                <w:b w:val="false"/>
                <w:sz w:val="26"/>
              </w:rPr>
              <w:t>Đơn đề nghị cấp Giấy phép xuất khẩu, nhập khẩu sản phẩm mật mã dân sự.docx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phép kinh doanh sản phẩm, dịch vụ mật mã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Giấy chứng nhận hợp quy đối với sản phẩm mật mã dân sự nhập khẩu (trường hợp đề nghị cấp Giấy phép nhập khẩu sản phẩm mật mã dân sự).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Cục Quản lý mật mã dân sự và Kiểm định sản phẩm mật mã/Ban Cơ yếu Chính phủ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Trưởng ban Cơ yếu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Giấy phép xuất khẩu, nhập khẩu sản phẩm mật mã dân sự.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58/2016/NĐ-CP</w:t>
            </w:r>
          </w:p>
        </w:tc>
        <w:tc>
          <w:p/>
          <w:p>
            <w:pPr>
              <w:spacing w:after="0" w:before="0" w:lineRule="auto" w:line="276"/>
              <w:jc w:val="left"/>
            </w:pPr>
            <w:r>
              <w:rPr>
                <w:rFonts w:ascii="Times New Roman" w:hAnsi="Times New Roman" w:cs="Times New Roman" w:eastAsia="Times New Roman"/>
                <w:b w:val="false"/>
                <w:sz w:val="26"/>
              </w:rPr>
              <w:t>Nghị định 58/2016/NĐ-CP</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Giấy phép kinh doanh sản phẩm, dịch vụ mật mã dân sự;
- Sản phẩm mật mã dân sự nhập khẩu phải được chứng nhận, công bố hợp quy theo quy định của pháp luật;
- Đối tượng và mục đích sử dụng sản phẩm mật mã dân sự không gây phương hại đến quốc phòng, an ninh quốc gia và trật tự, an toàn xã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2026-05-27T19:40:57Z</dcterms:created>
  <dc:creator>Apache POI</dc:creator>
</cp:coreProperties>
</file>