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2.000142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3783/QĐ-BCT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đủ điều kiện thương nhân kinh doanh mua bán LPG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Kinh doanh khí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Thương nhân đáp ứng đầy đủ các điều kiện quy định tại Nghị định số 87/2018/NĐ-CP gửi 01 bộ hồ sơ đề nghị cấp Giấy chứng nhận đủ điều kiện trực tiếp hoặc qua đường bưu điện hoặc qua mạng điện tử đến cơ quan nhà nước có thẩm quyền.
+ Trường hợp thương nhân chưa đủ hồ sơ hợp lệ, cơ quan nhà nước có thẩm quyền có văn bản yêu cầu thương nhân bổ sung.
+ Trong thời hạn 15 ngày làm việc kể từ ngày nhận được hồ sơ đầy đủ và hợp lệ, cơ quan nhà nước có thẩm quyền có trách nhiệm xem xét, thẩm định và cấp Giấy chứng nhận đủ điều kiện cho thương nhân. Trường hợp từ chối cấp Giấy chứng nhận phải trả lời bằng văn bản và nêu rõ lý do.
+ Thời hạn của Giấy chứng nhận đủ điều kiện là 10 năm kể từ ngày cấp mới.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pháp luật về phí, lệ phí hiện hành.)</w:t>
            </w:r>
          </w:p>
          <w:p>
            <w:pPr>
              <w:spacing w:after="0" w:before="0" w:lineRule="auto" w:line="276"/>
              <w:jc w:val="left"/>
            </w:pPr>
            <w:r>
              <w:rPr>
                <w:rFonts w:ascii="Times New Roman" w:hAnsi="Times New Roman" w:cs="Times New Roman" w:eastAsia="Times New Roman"/>
                <w:b w:val="false"/>
                <w:sz w:val="26"/>
              </w:rPr>
              <w:t xml:space="preserve">Lệ phí :  </w:t>
              <w:t xml:space="preserve"> (Theo quy định của pháp luật về phí, lệ phí hiện hành.)</w:t>
            </w:r>
          </w:p>
        </w:tc>
        <w:tc>
          <w:p/>
          <w:p>
            <w:pPr>
              <w:spacing w:after="0" w:before="0" w:lineRule="auto" w:line="276"/>
              <w:jc w:val="left"/>
            </w:pPr>
            <w:r>
              <w:rPr>
                <w:rFonts w:ascii="Times New Roman" w:hAnsi="Times New Roman" w:cs="Times New Roman" w:eastAsia="Times New Roman"/>
                <w:b w:val="false"/>
                <w:sz w:val="26"/>
              </w:rPr>
              <w:t>- Trong thời hạn 15 ngày làm việc kể từ ngày nhận được hồ sơ đầy đủ và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pháp luật về phí, lệ phí hiện hành.)</w:t>
            </w:r>
          </w:p>
          <w:p>
            <w:pPr>
              <w:spacing w:after="0" w:before="0" w:lineRule="auto" w:line="276"/>
              <w:jc w:val="left"/>
            </w:pPr>
            <w:r>
              <w:rPr>
                <w:rFonts w:ascii="Times New Roman" w:hAnsi="Times New Roman" w:cs="Times New Roman" w:eastAsia="Times New Roman"/>
                <w:b w:val="false"/>
                <w:sz w:val="26"/>
              </w:rPr>
              <w:t xml:space="preserve">Lệ phí :  </w:t>
              <w:t xml:space="preserve"> (Theo quy định của pháp luật về phí, lệ phí hiện hành.)</w:t>
            </w:r>
          </w:p>
        </w:tc>
        <w:tc>
          <w:p/>
          <w:p>
            <w:pPr>
              <w:spacing w:after="0" w:before="0" w:lineRule="auto" w:line="276"/>
              <w:jc w:val="left"/>
            </w:pPr>
            <w:r>
              <w:rPr>
                <w:rFonts w:ascii="Times New Roman" w:hAnsi="Times New Roman" w:cs="Times New Roman" w:eastAsia="Times New Roman"/>
                <w:b w:val="false"/>
                <w:sz w:val="26"/>
              </w:rPr>
              <w:t>- Trong thời hạn 15 ngày làm việc kể từ ngày nhận được hồ sơ đầy đủ và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pháp luật về phí, lệ phí hiện hành.)</w:t>
            </w:r>
          </w:p>
          <w:p>
            <w:pPr>
              <w:spacing w:after="0" w:before="0" w:lineRule="auto" w:line="276"/>
              <w:jc w:val="left"/>
            </w:pPr>
            <w:r>
              <w:rPr>
                <w:rFonts w:ascii="Times New Roman" w:hAnsi="Times New Roman" w:cs="Times New Roman" w:eastAsia="Times New Roman"/>
                <w:b w:val="false"/>
                <w:sz w:val="26"/>
              </w:rPr>
              <w:t xml:space="preserve">Lệ phí :  </w:t>
              <w:t xml:space="preserve"> (Theo quy định của pháp luật về phí, lệ phí hiện hành.)</w:t>
            </w:r>
          </w:p>
        </w:tc>
        <w:tc>
          <w:p/>
          <w:p>
            <w:pPr>
              <w:spacing w:after="0" w:before="0" w:lineRule="auto" w:line="276"/>
              <w:jc w:val="left"/>
            </w:pPr>
            <w:r>
              <w:rPr>
                <w:rFonts w:ascii="Times New Roman" w:hAnsi="Times New Roman" w:cs="Times New Roman" w:eastAsia="Times New Roman"/>
                <w:b w:val="false"/>
                <w:sz w:val="26"/>
              </w:rPr>
              <w:t>- Trong thời hạn 15 ngày làm việc kể từ ngày nhận được hồ sơ đầy đủ và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đề nghị cấp Giấy chứng nhận đủ điều kiện thương nhân kinh doanh mua bán LPG/LNG/CNG theo Mẫu số 03 tại Phụ lục kèm theo Nghị định 87/2018/NĐ-CP.</w:t>
            </w:r>
          </w:p>
        </w:tc>
        <w:tc>
          <w:p/>
          <w:p>
            <w:pPr>
              <w:spacing w:after="0" w:before="0" w:lineRule="auto" w:line="276"/>
              <w:jc w:val="left"/>
            </w:pPr>
            <w:r>
              <w:rPr>
                <w:rFonts w:ascii="Times New Roman" w:hAnsi="Times New Roman" w:cs="Times New Roman" w:eastAsia="Times New Roman"/>
                <w:b w:val="false"/>
                <w:sz w:val="26"/>
              </w:rPr>
              <w:t>MẪU SỐ 03 Khí.docx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Giấy chứng nhận đăng ký doanh nghiệp/hợp tác xã/hộ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Bản sao Giấy chứng nhận kết quả kiểm định kỹ thuật an toàn lao động bồn chứa.</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Tài liệu chứng minh đáp ứng các điều kiện về phòng cháy và chữa cháy.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Đối với thương nhân kinh doanh mua bán LPG chỉ có chai LPG hoặc thuê chai LPG ngoài các giấy tờ quy định tại khoản 2 Điều 38 Nghị định số 87/2018/NĐ-CP phải bổ sung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a) Bản sao Giấy chứng nhận kiểm định chai LPG còn hiệu lực;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 Bản sao Giấy chứng nhận hợp quy đối với chai LPG.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6, Đối với thương nhân kinh doanh mua bán khí qua đường ống ngoài các giấy tờ quy định tại khoản 2,3,4 Điều 38 Nghị định số 87/NĐ-CP phải bổ sung tài liệu chứng minh có trạm cấp khí đáp ứng các quy định về an toàn theo quy định tại Nghị định 87/2018/NĐ-CP và pháp luật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KINH DOANH MUA BÁN LPG/LNG/CNG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87/2018/NĐ-CP</w:t>
            </w:r>
          </w:p>
        </w:tc>
        <w:tc>
          <w:p/>
          <w:p>
            <w:pPr>
              <w:spacing w:after="0" w:before="0" w:lineRule="auto" w:line="276"/>
              <w:jc w:val="left"/>
            </w:pPr>
            <w:r>
              <w:rPr>
                <w:rFonts w:ascii="Times New Roman" w:hAnsi="Times New Roman" w:cs="Times New Roman" w:eastAsia="Times New Roman"/>
                <w:b w:val="false"/>
                <w:sz w:val="26"/>
              </w:rPr>
              <w:t>Về kinh doanh khí</w:t>
            </w:r>
          </w:p>
        </w:tc>
        <w:tc>
          <w:p/>
          <w:p>
            <w:pPr>
              <w:spacing w:after="0" w:before="0" w:lineRule="auto" w:line="276"/>
              <w:jc w:val="left"/>
            </w:pPr>
            <w:r>
              <w:rPr>
                <w:rFonts w:ascii="Times New Roman" w:hAnsi="Times New Roman" w:cs="Times New Roman" w:eastAsia="Times New Roman"/>
                <w:b w:val="false"/>
                <w:sz w:val="26"/>
              </w:rPr>
              <w:t>15-06-2018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17/2020/NĐ-CP</w:t>
            </w:r>
          </w:p>
        </w:tc>
        <w:tc>
          <w:p/>
          <w:p>
            <w:pPr>
              <w:spacing w:after="0" w:before="0" w:lineRule="auto" w:line="276"/>
              <w:jc w:val="left"/>
            </w:pPr>
            <w:r>
              <w:rPr>
                <w:rFonts w:ascii="Times New Roman" w:hAnsi="Times New Roman" w:cs="Times New Roman" w:eastAsia="Times New Roman"/>
                <w:b w:val="false"/>
                <w:sz w:val="26"/>
              </w:rPr>
              <w:t>Nghị định 17/2020/NĐ-CP</w:t>
            </w:r>
          </w:p>
        </w:tc>
        <w:tc>
          <w:p/>
          <w:p>
            <w:pPr>
              <w:spacing w:after="0" w:before="0" w:lineRule="auto" w:line="276"/>
              <w:jc w:val="left"/>
            </w:pPr>
            <w:r>
              <w:rPr>
                <w:rFonts w:ascii="Times New Roman" w:hAnsi="Times New Roman" w:cs="Times New Roman" w:eastAsia="Times New Roman"/>
                <w:b w:val="false"/>
                <w:sz w:val="26"/>
              </w:rPr>
              <w:t>05-02-2020</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Điều kiện đối với thương nhân kinh doanh mua bán khí:
a) Là thương nhân được thành lập theo quy định của pháp luật;
b) Có bồn chứa khí hoặc hợp đồng thuê bồn chứa khí hoặc có chai LPG hoặc hợp đồng thuê chai LPG
c) Đáp ứng các điều kiện về phòng cháy và chữa cháy theo quy định của pháp luật.
2. Đối với thương nhân kinh doanh mua bán khí qua đường ống ngoài đáp ứng các điều kiện quy định tại điểm a,b khoản 1 Điều 8 Nghị định 87/2018/NĐ-CP còn phải có trạm cấp khí đáp ứng đầy đủ các điều kiện về an tòan theo quy định tại Nghị định số 87/2018/NĐ-CP và pháp luật có liên quan.
3. Đối với thương nhân kinh doanh mua bán LPG chỉ có chai LPG hoặc thuê chai LPG, ngoài các giấy tờ quy định tại khoản 2 Điều 38 Nghị định 87/2018/NĐ-CP phải bổ sung các giấy tờ sau:
a) Bản sao Giấy chứng nhận kiểm định chai LPG còn hiệu lực;
b) Bản sao Giấy chứng nhận hợp quy đối với chai LPG.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2026-05-05T06:11:38Z</dcterms:created>
  <dc:creator>Apache POI</dc:creator>
</cp:coreProperties>
</file>