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83/QĐ-BVHTTDL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danh mục sản phẩm nghe nhìn có nội dung vui chơi giải trí nhập khẩu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mua bán quốc tế chuyên ngành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đề nghị nhập khẩu gửi 01 bộ hồ sơ trực tiếp hoặc qua đường bưu điện đến Sở Văn hóa, Thể thao và Du lịch.</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được hồ sơ, nếu hồ sơ chưa đầy đủ, hợp lệ, cơ quan có thẩm quyền có văn bản thông báo cho Thương nhân đề nghị bổ sung đầy đủ hồ sơ hợp lệ.</w:t>
      </w:r>
    </w:p>
    <w:p>
      <w:pPr>
        <w:spacing w:after="0" w:before="0" w:lineRule="auto" w:line="276"/>
        <w:jc w:val="both"/>
      </w:pPr>
      <w:r>
        <w:rPr>
          <w:rFonts w:ascii="Times New Roman" w:hAnsi="Times New Roman" w:cs="Times New Roman" w:eastAsia="Times New Roman"/>
          <w:b w:val="false"/>
          <w:sz w:val="26"/>
        </w:rPr>
        <w:t xml:space="preserve">Trong thời hạn 10 ngày làm việc, kể từ ngày nhận được đủ hồ sơ hợp lệ, cơ quan có thẩm quyền sẽ có văn bản trả lời kết quả chấp thuận hoặc từ chối đề nghị nhập khẩu của Thương nhân và nêu rõ lý do. Văn bản chấp thuận của Sở Văn hóa, Thể thao và Du lịch là căn cứ để Thương nhân làm thủ tục nhập khẩu tại hải quan. </w:t>
      </w:r>
    </w:p>
    <w:p>
      <w:pPr>
        <w:spacing w:after="0" w:before="0" w:lineRule="auto" w:line="276"/>
        <w:jc w:val="both"/>
      </w:pPr>
      <w:r>
        <w:rPr>
          <w:rFonts w:ascii="Times New Roman" w:hAnsi="Times New Roman" w:cs="Times New Roman" w:eastAsia="Times New Roman"/>
          <w:b w:val="false"/>
          <w:sz w:val="26"/>
        </w:rPr>
        <w:t>Danh mục sản phẩm nghe nhìn có nội dung vui chơi giải trí nhập khẩu chỉ được phép thông quan và đưa vào kinh doanh, sử dụng, phân phối sau khi đã được Sở Văn hoá, Thể thao và Du lịch các tỉnh, thành phố trực thuộc Trung ương kiểm tra hoặc thẩm định, phê duyệt nội dung và dán tem, nhãn kiểm soát, lưu hành đối với hàng hóa đủ điều kiện phổ biến, lưu hành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140.000 Đồng</w:t>
              <w:t xml:space="preserve"> (Đối với bản ghi âm Chương trình ca múa nhạc, sân khấu ghi trên băng đĩa: 140.000 đồng/1 block thứ nhất cộng (+) mức phí tăng thêm là 100.000 đồng cho mỗi block tiếp theo (Một block có độ dài thời gian là 15 phút).)</w:t>
            </w:r>
          </w:p>
          <w:p>
            <w:pPr>
              <w:spacing w:after="0" w:before="0" w:lineRule="auto" w:line="276"/>
              <w:jc w:val="left"/>
            </w:pPr>
            <w:r>
              <w:rPr>
                <w:rFonts w:ascii="Times New Roman" w:hAnsi="Times New Roman" w:cs="Times New Roman" w:eastAsia="Times New Roman"/>
                <w:b w:val="false"/>
                <w:sz w:val="26"/>
              </w:rPr>
              <w:t>Phí : 200.000 Đồng</w:t>
              <w:t xml:space="preserve"> (Đối với bản ghi hình Chương trình ca múa nhạc, sân khấu ghi trên băng đĩa:200.000 đồng/1 block thứ nhất cộng (+) mức phí tăng thêm là 140.000 đồng cho mỗi block tiếp theo (Một block có độ dài thời gian là 15 phút).)</w:t>
            </w:r>
          </w:p>
          <w:p>
            <w:pPr>
              <w:spacing w:after="0" w:before="0" w:lineRule="auto" w:line="276"/>
              <w:jc w:val="left"/>
            </w:pPr>
            <w:r>
              <w:rPr>
                <w:rFonts w:ascii="Times New Roman" w:hAnsi="Times New Roman" w:cs="Times New Roman" w:eastAsia="Times New Roman"/>
                <w:b w:val="false"/>
                <w:sz w:val="26"/>
              </w:rPr>
              <w:t>Phí : 1.400.000 Đồng</w:t>
              <w:t xml:space="preserve"> (Đối với bản ghi âm Chương trình ghi trên đĩa nén, ổ cứng, phần mềm và các vật liệu khác: + Ghi dưới hoặc bằng 50 bài hát, bản nhạc: 1.400.000 đồng/chương trình; + Ghi trên 50 bài hát, bản nhạc: 1.400.000 đồng/chương trình cộng (+) mức phí tăng thêm là 34.000 đồng/bài hát, bản nhạc. Tổng mức phí không quá 4.670.000 đồng/chương trình.)</w:t>
            </w:r>
          </w:p>
          <w:p>
            <w:pPr>
              <w:spacing w:after="0" w:before="0" w:lineRule="auto" w:line="276"/>
              <w:jc w:val="left"/>
            </w:pPr>
            <w:r>
              <w:rPr>
                <w:rFonts w:ascii="Times New Roman" w:hAnsi="Times New Roman" w:cs="Times New Roman" w:eastAsia="Times New Roman"/>
                <w:b w:val="false"/>
                <w:sz w:val="26"/>
              </w:rPr>
              <w:t>Phí : 1.670.000 Đồng</w:t>
              <w:t xml:space="preserve"> (Đối với bản ghi hình Chương trình ghi trên đĩa nén, ổ cứng, phần mềm và các vật liệu khác:  - Đối với bản ghi hình: + Ghi dưới hoặc bằng 50 bài hát, bản nhạc: 1.670.000 đồng/chương trình; + Ghi trên 50 bài hát, bản nhạc: 1.670.000 đồng/chương trình cộng (+) mức phí tăng thêm là 50.000 đồng/bài hát, bản nhạc. Tổng mức phí không quá 6.000.000 đồng/chương trình.)</w:t>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được hồ sơ, nếu hồ sơ chưa đầy đủ, hợp lệ, cơ quan có thẩm quyền có văn bản thông báo cho Thương nhân đề nghị bổ sung đầy đủ hồ sơ hợp lệ.  - Trong thời hạn 10 ngày làm việc, kể từ ngày nhận được đủ hồ sơ hợp lệ, cơ quan có thẩm quyền sẽ có văn bản trả lời kết quả chấp thuận hoặc từ chối đề nghị nhập khẩu của Thương nhân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(Tương tự hình thức nộp trực tiếp)</w:t>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được hồ sơ, nếu hồ sơ chưa đầy đủ, hợp lệ, cơ quan có thẩm quyền có văn bản thông báo cho Thương nhân đề nghị bổ sung đầy đủ hồ sơ hợp lệ.  - Trong thời hạn 10 ngày làm việc, kể từ ngày nhận được đủ hồ sơ hợp lệ, cơ quan có thẩm quyền sẽ có văn bản trả lời kết quả chấp thuận hoặc từ chối đề nghị nhập khẩu của Thương nhân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nhập khẩu sản phẩm (Mẫu số 05 tại Phụ lục II ban hành kèm theo Thông tư số 28/2014/TT-BVHTTDL ngày 31 tháng 12 năm 2014 của Bộ trưởng Bộ Văn hóa, Thể thao và Du lịch quy định về quản lý hoạt động mua bán hàng hóa quốc tế thuộc diện quản lý chuyên ngành văn hóa của Bộ Văn hóa, Thể thao và Du lịch;</w:t>
            </w:r>
          </w:p>
        </w:tc>
        <w:tc>
          <w:p/>
          <w:p>
            <w:pPr>
              <w:spacing w:after="0" w:before="0" w:lineRule="auto" w:line="276"/>
              <w:jc w:val="left"/>
            </w:pPr>
            <w:r>
              <w:rPr>
                <w:rFonts w:ascii="Times New Roman" w:hAnsi="Times New Roman" w:cs="Times New Roman" w:eastAsia="Times New Roman"/>
                <w:b w:val="false"/>
                <w:sz w:val="26"/>
              </w:rPr>
              <w:t>mẫu số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mô tả nội dung, hình ảnh, cách thức vận hành/sử dụng, chủng loại, số lượng, tính năng của từng loại hàng hóa và các thông tin liên quan khác đến sản phẩm nhập khẩu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đầu tư hoặc Giấy phép đầu tư hoặc các loại giấy tờ xác nhận tư cách pháp lý có giá trị tương đương khác (nếu có); Trường hợp doanh nghiệp sử dụng thông tin Giấy chứng nhận đăng ký doanh nghiệp thì được tra cứu, tích hợp thông tin từ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danh mục sản phẩm nghe nhìn có nội dung vui chơi giải trí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28/2014/TT-BVHTTDL</w:t>
            </w:r>
          </w:p>
        </w:tc>
        <w:tc>
          <w:p/>
          <w:p>
            <w:pPr>
              <w:spacing w:after="0" w:before="0" w:lineRule="auto" w:line="276"/>
              <w:jc w:val="left"/>
            </w:pPr>
            <w:r>
              <w:rPr>
                <w:rFonts w:ascii="Times New Roman" w:hAnsi="Times New Roman" w:cs="Times New Roman" w:eastAsia="Times New Roman"/>
                <w:b w:val="false"/>
                <w:sz w:val="26"/>
              </w:rPr>
              <w:t>Thông tư 28/2014/TT-BVHTTDL</w:t>
            </w:r>
          </w:p>
        </w:tc>
        <w:tc>
          <w:p/>
          <w:p>
            <w:pPr>
              <w:spacing w:after="0" w:before="0" w:lineRule="auto" w:line="276"/>
              <w:jc w:val="left"/>
            </w:pPr>
            <w:r>
              <w:rPr>
                <w:rFonts w:ascii="Times New Roman" w:hAnsi="Times New Roman" w:cs="Times New Roman" w:eastAsia="Times New Roman"/>
                <w:b w:val="false"/>
                <w:sz w:val="26"/>
              </w:rPr>
              <w:t>31-12-2014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26/2018/TT-BVHTTDL</w:t>
            </w:r>
          </w:p>
        </w:tc>
        <w:tc>
          <w:p/>
          <w:p>
            <w:pPr>
              <w:spacing w:after="0" w:before="0" w:lineRule="auto" w:line="276"/>
              <w:jc w:val="left"/>
            </w:pPr>
            <w:r>
              <w:rPr>
                <w:rFonts w:ascii="Times New Roman" w:hAnsi="Times New Roman" w:cs="Times New Roman" w:eastAsia="Times New Roman"/>
                <w:b w:val="false"/>
                <w:sz w:val="26"/>
              </w:rPr>
              <w:t>Thông tư 26/2018/TT-BVHTTDL sửa đổi, bổ sung một số điều của Thông tư số 28/2014/TT-BVHTTDL</w:t>
            </w:r>
          </w:p>
        </w:tc>
        <w:tc>
          <w:p/>
          <w:p>
            <w:pPr>
              <w:spacing w:after="0" w:before="0" w:lineRule="auto" w:line="276"/>
              <w:jc w:val="left"/>
            </w:pPr>
            <w:r>
              <w:rPr>
                <w:rFonts w:ascii="Times New Roman" w:hAnsi="Times New Roman" w:cs="Times New Roman" w:eastAsia="Times New Roman"/>
                <w:b w:val="false"/>
                <w:sz w:val="26"/>
              </w:rPr>
              <w:t>11-09-2018</w:t>
            </w:r>
          </w:p>
        </w:tc>
        <w:tc>
          <w:p/>
        </w:tc>
      </w:tr>
      <w:tr>
        <w:tc>
          <w:p/>
          <w:p>
            <w:pPr>
              <w:spacing w:after="0" w:before="0" w:lineRule="auto" w:line="276"/>
              <w:jc w:val="left"/>
            </w:pPr>
            <w:r>
              <w:rPr>
                <w:rFonts w:ascii="Times New Roman" w:hAnsi="Times New Roman" w:cs="Times New Roman" w:eastAsia="Times New Roman"/>
                <w:b w:val="false"/>
                <w:sz w:val="26"/>
              </w:rPr>
              <w:t>153/TT-BTC</w:t>
            </w:r>
          </w:p>
        </w:tc>
        <w:tc>
          <w:p/>
          <w:p>
            <w:pPr>
              <w:spacing w:after="0" w:before="0" w:lineRule="auto" w:line="276"/>
              <w:jc w:val="left"/>
            </w:pPr>
            <w:r>
              <w:rPr>
                <w:rFonts w:ascii="Times New Roman" w:hAnsi="Times New Roman" w:cs="Times New Roman" w:eastAsia="Times New Roman"/>
                <w:b w:val="false"/>
                <w:sz w:val="26"/>
              </w:rPr>
              <w:t>Thông tư số 153/2025/TT-BTC ngày 31 tháng 12 năm 2025 của Bộ trưởng Bộ Tài chính quy định mức thu, chế độ thu, nộp một số khoản phí, lệ phí thuộc lĩnh vực văn hóa, thể thao, du lịch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2026-05-22T12:02:44Z</dcterms:created>
  <dc:creator>Apache POI</dc:creator>
</cp:coreProperties>
</file>