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dự án đầu tư theo bản án, quyết định của tòa án, trọng tài.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cho Ban Quản lý nơi thực hiện dự án đầu tư.
</w:t>
      </w:r>
    </w:p>
    <w:p>
      <w:pPr>
        <w:spacing w:after="0" w:before="0" w:lineRule="auto" w:line="276"/>
        <w:jc w:val="both"/>
      </w:pPr>
      <w:r>
        <w:rPr>
          <w:rFonts w:ascii="Times New Roman" w:hAnsi="Times New Roman" w:cs="Times New Roman" w:eastAsia="Times New Roman"/>
          <w:b w:val="false"/>
          <w:sz w:val="26"/>
        </w:rPr>
        <w:t>- Bước 2: Ban Quản lý điều chỉnh Giấy chứng nhận đăng ký đầu tư khi nhận được hồ sơ hợp lệ.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Mau I-7_TT16_Dieu chinh DA DT khong thuoc dien CCCT.docx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đăng ký doanh nghiệp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dự 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 theo Mẫu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bản án, quyết định có hiệu lực của tòa án, trọng tài.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dự án đầu tư, theo bản án, quyết định của tòa án, trọng tài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2026-05-20T06:10:39Z</dcterms:created>
  <dc:creator>Apache POI</dc:creator>
</cp:coreProperties>
</file>