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CITES nhập khẩu mẫu vật loài động vật, thực vật thuộc Phụ lục CITES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01 bộ hồ sơ đến Cơ quan thẩm quyền quản lý CITES Việt Nam theo cách thức trực tiếp hoặc qua môi trường điện tử hoặc qua dịch vụ bưu chính công ích hoặc dịch vụ bưu chính.
- Bước 2: Kiểm tra tính hợp lệ của hồ sơ
Cơ quan thẩm quyền quản lý CITES Việt Nam kiểm tra và tiếp nhận ngay khi hồ sơ đảm bảo tính đầy đủ và hợp lệ đối với hồ sơ nộp trực tiếp; kiểm tra và tiếp nhận trong 01 ngày làm việc đối với hồ sơ nộp qua môi trường điện tử hoặc qua dịch vụ bưu chính công ích hoặc dịch vụ bưu chính, trường hợp thành phần hồ sơ không đầy đủ hoặc không hợp lệ thì trả lời bằng văn bản và nêu rõ lý do;
- Bước 3: Xử lý hồ sơ
Trong thời hạn 05 ngày làm việc kể từ ngày nhận được hồ sơ hợp lệ, Cơ quan thẩm quyền quản lý CITES Việt Nam cấp giấy phép CITES nhập khẩu theo Mẫu số 35 Phụ lục II ban hành kèm theo Thông tư số 85/2025/TT-BNNMT; trường hợp không cấp giấy phép, thông báo bằng văn bản và nêu rõ lý do;
Trong thời hạn 05 ngày làm việc kể từ ngày nhận được hồ sơ hợp lệ, Cơ quan thẩm quyền quản lý CITES Việt Nam gửi văn bản tham vấn, xác minh trong các trường hợp sau: 
Trường hợp nhập khẩu mẫu vật có nguồn gốc từ các quốc gia xuất khẩu thuộc vùng địa lý không tích cực theo pháp luật về quản lý, truy xuất nguồn gốc lâm sản hoặc có thông tin giấy phép xuất khẩu, tái xuất khẩu là giả mạo, có dấu hiệu tẩy xóa, chỉnh sửa, không rõ thông tin hoặc nhập khẩu động vật sống, Cơ quan thẩm quyền quản lý CITES Việt Nam thực hiện tham vấn qua thư điện tử với cơ quan cấp giấy phép CITES xuất khẩu, tái xuất khẩu về các thông tin liên quan đến giấy phép xuất khẩu, tái xuất khẩu hoặc phương thức xác thực điện tử khác;  
Trường hợp cần xác minh thông tin về năng lực cơ sở nuôi trước khi cấp phép nhập khẩu động vật sống, Cơ quan thẩm quyền quản lý CITES Việt Nam thực hiện tham vấn Cơ quan khoa học CITES Việt Nam, cơ quan quản lý chuyên ngành hoặc đề nghị cơ quan quản lý chuyên ngành phối hợp với các cơ quan liên quan xác minh, kiểm tra thực tế cơ sở nuôi;
Trong thời hạn 07 ngày làm việc kể từ ngày nhận được đề nghị tham vấn hoặc đề nghị xác minh, kiểm tra thực tế cơ sở nuôi của Cơ quan thẩm quyền quản lý CITES Việt Nam, các cơ quan liên quan trả lời bằng văn bản;
Trong thời hạn 03 ngày làm việc kể từ ngày nhận được văn bản của các cơ quan liên quan, Cơ quan thẩm quyền quản lý CITES Việt Nam thực hiện cấp giấy phép CITES nhập khẩu theo Mẫu số 35 Phụ lục II ban hành kèm theo Thông tư số 85/2025/TT-BNNMT; trường hợp không cấp giấy phép hoặc không nhận được kết quả tham vấn, xác minh, Cơ quan thẩm quyền quản lý CITES Việt Nam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không tham vấn: 05 ngày làm việc, kể từ ngày nhận được hồ sơ hợp lệ - Trường hợp tham vấn, xác minh: 15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tham vấn: 05 ngày làm việc, kể từ ngày nhận được hồ sơ hợp lệ
- Trường hợp tham vấn, xác minh: 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không tham vấn: 05 ngày làm việc, kể từ ngày nhận được hồ sơ hợp lệ - Trường hợp tham vấn, xác minh: 15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tham vấn: 05 ngày làm việc, kể từ ngày nhận được hồ sơ hợp lệ
- Trường hợp tham vấn, xác minh: 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không tham vấn: 05 ngày làm việc, kể từ ngày nhận được hồ sơ hợp lệ - Trường hợp tham vấn, xác minh: 15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tham vấn: 05 ngày làm việc, kể từ ngày nhận được hồ sơ hợp lệ
- Trường hợp tham vấn, xác minh: 15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chính Đề nghị cấp giấy phép theo Mẫu số 36 Phụ lục II ban hành kèm theo Thông tư số 85/2025/TT-BNNMT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phép CITES xuất khẩu, tái xuất khẩu do Cơ quan thẩm quyền quản lý CITES của nước xuất khẩu, tái xuất khẩu cấp đối với loài thuộc Phụ lục II, III CITES, loài thuộc Phụ lục I CITES có nguồn gốc từ nuôi, trồng tại cơ sở đã được Ban Thư ký CITES cấp mã số cơ sở nuôi, trồng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Trường hợp nhập khẩu mẫu vật thuộc Phụ lục I CITES không vì mục đích thương mại: ngoài thành phần hồ sơ quy định tại điểm a, nộp thêm một trong các bản sao tài liệu sau: mã số cơ sở nuôi, mã số cơ sở trồng, giấy chứng nhận cơ sở bảo tồn đa dạng sinh học đối với mẫu vật sống; văn bản ký kết về chương trình hợp tác nghiên cứu khoa học do cơ quan có thẩm quyền phê duyệt đối với trường hợp nghiên cứu khoa học; văn bản xác nhận quà biếu, tặng ngoại giao do cơ quan có thẩm quyền phê duyệt đối với trường hợp phục vụ ngoại giao; giấy mời tham gia triển lãm, biểu diễn xiếc của cơ quan có thẩm quyền đối với trường hợp phục vụ triển lãm, biểu diễn xiếc; văn bản của Cơ quan thẩm quyền quản lý CITES nước xuất khẩu, tái xuất khẩu về việc trả lại mẫu vật cho quốc gia xuất xứ;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Trường hợp nhập khẩu động vật, thực vật sống thuộc Phụ lục I CITES có nguồn gốc từ nuôi, trồng tại cơ sở đã được Ban Thư ký CITES cấp mã số cơ sở nuôi, trồng, Phụ lục II, III CITES để nuôi, trồng: ngoài thành phần hồ sơ quy định tại điểm a và điểm b, nộp thêm một trong các bản sao tài liệu sau: mã số cơ sở nuôi, mã số cơ sở trồng, giấy chứng nhận cơ sở bảo tồn đa dạng sinh học hoặc nộp thêm một trong các bản chính tài liệu sau: Phương án nuôi theo Mẫu số 22, Phương án trồng theo Mẫu số 31 Phụ lục II ban hành kèm theo Thông tư số 85/2025/TT-BNNMT đối với trường hợp không bắt buộc đăng ký mã số cơ sở nuôi, cơ sở trồng theo quy định tại Thông tư số 85/2025/TT-BNNMT</w:t>
            </w:r>
          </w:p>
        </w:tc>
        <w:tc>
          <w:p/>
          <w:p>
            <w:pPr>
              <w:spacing w:after="0" w:before="0" w:lineRule="auto" w:line="276"/>
              <w:jc w:val="left"/>
            </w:pPr>
            <w:r>
              <w:rPr>
                <w:rFonts w:ascii="Times New Roman" w:hAnsi="Times New Roman" w:cs="Times New Roman" w:eastAsia="Times New Roman"/>
                <w:b w:val="false"/>
                <w:sz w:val="26"/>
              </w:rPr>
              <w:t>Mus22.docx</w:t>
            </w:r>
          </w:p>
          <w:p>
            <w:pPr>
              <w:spacing w:after="0" w:before="0" w:lineRule="auto" w:line="276"/>
              <w:jc w:val="left"/>
            </w:pPr>
            <w:r>
              <w:rPr>
                <w:rFonts w:ascii="Times New Roman" w:hAnsi="Times New Roman" w:cs="Times New Roman" w:eastAsia="Times New Roman"/>
                <w:b w:val="false"/>
                <w:sz w:val="26"/>
              </w:rPr>
              <w:t>Mus31.docx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Trường hợp nhập khẩu mẫu vật từ quốc gia không phải là thành viên CITES: ngoài thành phần hồ sơ quy định tại điểm a, nộp thêm bản sao giấy phép xuất khẩu, tái xuất khẩu do Cơ quan có thẩm quyền nước xuất khẩu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thẩm quyền quản lý CITES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thẩm quyền quản lý CITES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thẩm quyền quản lý CITES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CITES theo Mẫu số 35 Phụ lục II ban hành kèm theo Thông tư số 85/2025/TT-BNNMT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116/2017/QH14</w:t>
            </w:r>
          </w:p>
        </w:tc>
        <w:tc>
          <w:p/>
          <w:p>
            <w:pPr>
              <w:spacing w:after="0" w:before="0" w:lineRule="auto" w:line="276"/>
              <w:jc w:val="left"/>
            </w:pPr>
            <w:r>
              <w:rPr>
                <w:rFonts w:ascii="Times New Roman" w:hAnsi="Times New Roman" w:cs="Times New Roman" w:eastAsia="Times New Roman"/>
                <w:b w:val="false"/>
                <w:sz w:val="26"/>
              </w:rPr>
              <w:t>Luật Lâm nghiệp</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136/2025/NĐ-CP</w:t>
            </w:r>
          </w:p>
        </w:tc>
        <w:tc>
          <w:p/>
          <w:p>
            <w:pPr>
              <w:spacing w:after="0" w:before="0" w:lineRule="auto" w:line="276"/>
              <w:jc w:val="left"/>
            </w:pPr>
            <w:r>
              <w:rPr>
                <w:rFonts w:ascii="Times New Roman" w:hAnsi="Times New Roman" w:cs="Times New Roman" w:eastAsia="Times New Roman"/>
                <w:b w:val="false"/>
                <w:sz w:val="26"/>
              </w:rPr>
              <w:t>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27/2025/TT-BNNMT</w:t>
            </w:r>
          </w:p>
        </w:tc>
        <w:tc>
          <w:p/>
          <w:p>
            <w:pPr>
              <w:spacing w:after="0" w:before="0" w:lineRule="auto" w:line="276"/>
              <w:jc w:val="left"/>
            </w:pPr>
            <w:r>
              <w:rPr>
                <w:rFonts w:ascii="Times New Roman" w:hAnsi="Times New Roman" w:cs="Times New Roman" w:eastAsia="Times New Roman"/>
                <w:b w:val="false"/>
                <w:sz w:val="26"/>
              </w:rPr>
              <w:t>Thông tư số 27/2025/TT-BNNMT</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2026-05-21T20:36:08Z</dcterms:created>
  <dc:creator>Apache POI</dc:creator>
</cp:coreProperties>
</file>