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đầu tư ra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từ Việt nam ra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Giấy chứng nhận đăng ký đầu tư ra nước ngoài bị mất, cháy, rách, nát hoặc bị hỏng dưới hình thức khác, nhà đầu tư gửi văn bản đề nghị cấp lại Giấy chứng nhận đăng ký đầu tư ra nước ngoài tới cơ quan cấp Giấy chứng nhận đăng ký đầu tư ra nước ngoài để được cấp lại.</w:t>
      </w:r>
    </w:p>
    <w:p>
      <w:pPr>
        <w:spacing w:after="0" w:before="0" w:lineRule="auto" w:line="276"/>
        <w:jc w:val="both"/>
      </w:pPr>
      <w:r>
        <w:rPr>
          <w:rFonts w:ascii="Times New Roman" w:hAnsi="Times New Roman" w:cs="Times New Roman" w:eastAsia="Times New Roman"/>
          <w:b w:val="false"/>
          <w:sz w:val="26"/>
        </w:rPr>
        <w:t>- Cơ quan cấp Giấy chứng nhận đăng ký đầu tư ra nước ngoài xem xét cấp lại Giấy chứng nhận đăng ký đầu tư ra nước ngoài cho nhà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05 ngày kể từ ngày nhận được văn bản đề nghị của nhà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 nhà nước (Bộ Kế hoạch và Đầu tư).</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05 ngày kể từ ngày nhận được văn bản đề nghị của nhà đầu tư. </w:t>
            </w:r>
          </w:p>
        </w:tc>
        <w:tc>
          <w:p/>
          <w:p>
            <w:pPr>
              <w:spacing w:after="0" w:before="0" w:lineRule="auto" w:line="276"/>
              <w:jc w:val="left"/>
            </w:pPr>
            <w:r>
              <w:rPr>
                <w:rFonts w:ascii="Times New Roman" w:hAnsi="Times New Roman" w:cs="Times New Roman" w:eastAsia="Times New Roman"/>
                <w:b w:val="false"/>
                <w:sz w:val="26"/>
              </w:rPr>
              <w:t>Lệ phí :  Đồng</w:t>
              <w:t xml:space="preserve"> (- Không có)</w:t>
            </w:r>
          </w:p>
        </w:tc>
        <w:tc>
          <w:p/>
          <w:p>
            <w:pPr>
              <w:spacing w:after="0" w:before="0" w:lineRule="auto" w:line="276"/>
              <w:jc w:val="left"/>
            </w:pPr>
            <w:r>
              <w:rPr>
                <w:rFonts w:ascii="Times New Roman" w:hAnsi="Times New Roman" w:cs="Times New Roman" w:eastAsia="Times New Roman"/>
                <w:b w:val="false"/>
                <w:sz w:val="26"/>
              </w:rPr>
              <w:t>- Nộp trực tuyến trên Hệ thống thông tin quốc gia về đầu tư hoặc trên Hệ thống thông tin giải quyết thủ tục hành chính của Bộ.</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05 ngày kể từ ngày nhận được văn bản đề nghị của nhà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đăng ký đầu tư ra nước ngoài	</w:t>
            </w:r>
          </w:p>
        </w:tc>
        <w:tc>
          <w:p/>
          <w:p>
            <w:pPr>
              <w:spacing w:after="0" w:before="0" w:lineRule="auto" w:line="276"/>
              <w:jc w:val="left"/>
            </w:pPr>
            <w:r>
              <w:rPr>
                <w:rFonts w:ascii="Times New Roman" w:hAnsi="Times New Roman" w:cs="Times New Roman" w:eastAsia="Times New Roman"/>
                <w:b w:val="false"/>
                <w:sz w:val="26"/>
              </w:rPr>
              <w:t>B.I.15 Văn bản đề nghị cấp lại Giấy chứng nhận đăng ký đầu tư ra nước ngoài.docx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ra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đầu tư ra,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2026-05-20T06:42:55Z</dcterms:created>
  <dc:creator>Apache POI</dc:creator>
</cp:coreProperties>
</file>