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2910</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trợ cấp đối với dân quân bị ốm hoặc đối với thân nhân khi dân quân bị ốm dẫn đến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quân tự vệ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Dân quân hoặc người đại diện hợp pháp của dân quân đối với trường hợp ốm dẫn đến chết lập hồ sơ nộp trực tiếp cho Ban chỉ huy quân sự cấp xã;</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Ban chỉ huy quân sự cấp xã có trách nhiệm kiểm tra tính hợp lệ. Trường hợp hồ sơ không hợp lệ, Ban chỉ huy quân sự cấp xã phải hướng dẫn cho dân quân hoặc người đại diện hợp pháp của dân quân bổ sung, hoàn thiện hồ sơ. Trường hợp hồ sơ hợp lệ, Ban chỉ huy quân sự cấp xã gửi Ban chỉ huy quân sự cấp huyện</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Trường hợp hồ sơ không đủ điều kiện giải quyết thì Ban chỉ huy quân sự cấp huyện phải có văn bản thông báo lý do cho đối tượng biết; trường hợp hồ sơ đủ điều kiện giải quyết, Ban chỉ huy quân sự cấp huyện có trách nhiệm thẩm định, trình chủ tịch Ủy ban nhân dân cấp huyện ra quyết định trợ cấp cho dân quân hoặc người đại diện hợp pháp của dân quân</w:t>
      </w:r>
    </w:p>
    <w:p>
      <w:pPr>
        <w:spacing w:after="0" w:before="0" w:lineRule="auto" w:line="276"/>
        <w:jc w:val="both"/>
      </w:pPr>
      <w:r>
        <w:rPr>
          <w:rFonts w:ascii="Times New Roman" w:hAnsi="Times New Roman" w:cs="Times New Roman" w:eastAsia="Times New Roman"/>
          <w:b w:val="false"/>
          <w:sz w:val="26"/>
        </w:rPr>
        <w:t>Bước 4: Trong thời hạn 10 ngày làm việc, kể từ ngày ra quyết định trợ cấp các cơ quan chức năng phải giải quyết chế độ ốm đau cho dân quân hoặc người đại diện hợp pháp của dân quân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- 05 ngày làm việc cho Ban Chỉ huy quân sự cấp xã;
- 10 ngày làm việc cho Ban Chỉ huy quân sự cấp huyện;
- 10 ngày làm việc cho cơ quan chức năng giải quyết chế độ.</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của dân quân hoặc người đại diện hợp pháp của dân quân có ý kiến của Ban chỉ huy quân sự cấp xã và xác nhận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xét nghiệm, đơn thuốc, hóa đơn thu tiền, giấy xuất viện, giấy chứng tử đối với trường hợp ốm dẫn đến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thẩm định của Ban chỉ huy quân sự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cho dân quân hoặc người đại diện hợp pháp của dân quân.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43/2009/QH12</w:t>
            </w:r>
          </w:p>
        </w:tc>
        <w:tc>
          <w:p/>
          <w:p>
            <w:pPr>
              <w:spacing w:after="0" w:before="0" w:lineRule="auto" w:line="276"/>
              <w:jc w:val="left"/>
            </w:pPr>
            <w:r>
              <w:rPr>
                <w:rFonts w:ascii="Times New Roman" w:hAnsi="Times New Roman" w:cs="Times New Roman" w:eastAsia="Times New Roman"/>
                <w:b w:val="false"/>
                <w:sz w:val="26"/>
              </w:rPr>
              <w:t>Dân quân tự vệ</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một số điều của Luật Dân quân tự vệ.</w:t>
            </w:r>
          </w:p>
        </w:tc>
        <w:tc>
          <w:p/>
          <w:p>
            <w:pPr>
              <w:spacing w:after="0" w:before="0" w:lineRule="auto" w:line="276"/>
              <w:jc w:val="left"/>
            </w:pPr>
            <w:r>
              <w:rPr>
                <w:rFonts w:ascii="Times New Roman" w:hAnsi="Times New Roman" w:cs="Times New Roman" w:eastAsia="Times New Roman"/>
                <w:b w:val="false"/>
                <w:sz w:val="26"/>
              </w:rPr>
              <w:t>05-01-2016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Cán bộ, chiến sỹ dân quân chưa tham gia bảo hiểm y tế, bảo hiểm xã hội khi thực hiện nhiệm vụ quy định tại Khoản 4, Khoản 5, Khoản 6 Điều 8 của Luật Dân quân tự vệ và quyết định điều động của cấp có thẩm quyền được hưởng chế độ, chính sách trong các trưởng hợp sau:
- Trong thời gian và tại nơi làm nhiệm vụ quy định tại Khoản 4, Khoản 5, Khoản 6 Điều 8 Luật Dân quân tự vệ theo quyết định điều động của cấp có thẩm quyền;
- Ngoài nơi làm nhiệm vụ hoặc ngoài giờ làm nhiệm vụ theo mệnh lệnh của cấp có thẩm quyền;
- Trên tuyến đường đi và về từ nơi ở đến nơi làm nhiệm vụ trong khoản thời gian và tuyến đường hợp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2026-05-23T19:28:13Z</dcterms:created>
  <dc:creator>Apache POI</dc:creator>
</cp:coreProperties>
</file>