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1.003609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4508/QĐ-BVHTTDL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hoạt động kinh doanh nhập khẩu xuất bản phẩm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Xuất Bản, In và Phát hành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Cơ sở hoạt động kinh doanh nhập khẩu xuất bản phẩm chuẩn bị hồ sơ theo quy định gửi đến Cục Xuất bản, In và Phát hành (Bộ Văn hóa, Thể thao và Du lịch)</w:t>
      </w:r>
    </w:p>
    <w:p>
      <w:pPr>
        <w:spacing w:after="0" w:before="0" w:lineRule="auto" w:line="276"/>
        <w:jc w:val="both"/>
      </w:pPr>
      <w:r>
        <w:rPr>
          <w:rFonts w:ascii="Times New Roman" w:hAnsi="Times New Roman" w:cs="Times New Roman" w:eastAsia="Times New Roman"/>
          <w:b w:val="false"/>
          <w:sz w:val="26"/>
        </w:rPr>
        <w:t>- Trong thời hạn 20 ngày kể từ ngày nhận đủ hồ sơ, Cục Xuất bản, In và Phát hành cấp giấy phép hoạt động kinh doanh nhập khẩu xuất bản phẩm; trường hợp không cấp giấy phép phải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Nộp trực tiếp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Nộp trực tuyến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Nộp qua bưu điện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cấp giấy phép hoạt động kinh doanh nhập khẩu xuất bản phẩm  (Mẫu số 22 Phụ lục kèm theo Thông tư số 23/2023/TT-BTTTT);</w:t>
            </w:r>
          </w:p>
        </w:tc>
        <w:tc>
          <w:p/>
          <w:p>
            <w:pPr>
              <w:spacing w:after="0" w:before="0" w:lineRule="auto" w:line="276"/>
              <w:jc w:val="left"/>
            </w:pPr>
            <w:r>
              <w:rPr>
                <w:rFonts w:ascii="Times New Roman" w:hAnsi="Times New Roman" w:cs="Times New Roman" w:eastAsia="Times New Roman"/>
                <w:b w:val="false"/>
                <w:sz w:val="26"/>
              </w:rPr>
              <w:t>Mus22-nnghcpcpliGPHKDNKXBP.doc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có chứng thực một trong các loại giấy chứng nhận đăng ký kinh  doanh, giấy chứng nhận đăng ký doanh nghiệp, giấy chứng nhận đầu tư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Sơ yếu lý lịch của người đứng đầu cơ sở nhập khẩu xuất bản phẩm kèm  theo bản sao có chứng thực văn bằng do cơ sở đào tạo chuyên ngành cấp hoặc giấy  chứng nhận bồi dưỡng kiến thức nghiệp vụ phát hành xuất bản phẩm do cơ quan nhà  nước có thẩm quyền cấp;</w:t>
            </w:r>
          </w:p>
        </w:tc>
        <w:tc>
          <w:p/>
          <w:p>
            <w:pPr>
              <w:spacing w:after="0" w:before="0" w:lineRule="auto" w:line="276"/>
              <w:jc w:val="left"/>
            </w:pPr>
            <w:r>
              <w:rPr>
                <w:rFonts w:ascii="Times New Roman" w:hAnsi="Times New Roman" w:cs="Times New Roman" w:eastAsia="Times New Roman"/>
                <w:b w:val="false"/>
                <w:sz w:val="26"/>
              </w:rPr>
              <w:t>Mus06-Syullch.doc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Danh sách nhân viên thẩm định nội dung sách đối với trường hợp kinh  doanh nhập khẩu sách.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Xuất bản, In và Phát hành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Xuất bản, In và Phát hành  Số 10 Đường Thành, phường Hoàn Kiếm,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kinh doanh nhập khẩu xuất bản phẩm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19/2012/QH13</w:t>
            </w:r>
          </w:p>
        </w:tc>
        <w:tc>
          <w:p/>
          <w:p>
            <w:pPr>
              <w:spacing w:after="0" w:before="0" w:lineRule="auto" w:line="276"/>
              <w:jc w:val="left"/>
            </w:pPr>
            <w:r>
              <w:rPr>
                <w:rFonts w:ascii="Times New Roman" w:hAnsi="Times New Roman" w:cs="Times New Roman" w:eastAsia="Times New Roman"/>
                <w:b w:val="false"/>
                <w:sz w:val="26"/>
              </w:rPr>
              <w:t>Luật xuất bản</w:t>
            </w:r>
          </w:p>
        </w:tc>
        <w:tc>
          <w:p/>
          <w:p>
            <w:pPr>
              <w:spacing w:after="0" w:before="0" w:lineRule="auto" w:line="276"/>
              <w:jc w:val="left"/>
            </w:pPr>
            <w:r>
              <w:rPr>
                <w:rFonts w:ascii="Times New Roman" w:hAnsi="Times New Roman" w:cs="Times New Roman" w:eastAsia="Times New Roman"/>
                <w:b w:val="false"/>
                <w:sz w:val="26"/>
              </w:rPr>
              <w:t>20-11-2012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195/2013/NĐ-CP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Xuất bản</w:t>
            </w:r>
          </w:p>
        </w:tc>
        <w:tc>
          <w:p/>
          <w:p>
            <w:pPr>
              <w:spacing w:after="0" w:before="0" w:lineRule="auto" w:line="276"/>
              <w:jc w:val="left"/>
            </w:pPr>
            <w:r>
              <w:rPr>
                <w:rFonts w:ascii="Times New Roman" w:hAnsi="Times New Roman" w:cs="Times New Roman" w:eastAsia="Times New Roman"/>
                <w:b w:val="false"/>
                <w:sz w:val="26"/>
              </w:rPr>
              <w:t>21-11-2013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150/2018/NĐ-CP</w:t>
            </w:r>
          </w:p>
        </w:tc>
        <w:tc>
          <w:p/>
          <w:p>
            <w:pPr>
              <w:spacing w:after="0" w:before="0" w:lineRule="auto" w:line="276"/>
              <w:jc w:val="left"/>
            </w:pPr>
            <w:r>
              <w:rPr>
                <w:rFonts w:ascii="Times New Roman" w:hAnsi="Times New Roman" w:cs="Times New Roman" w:eastAsia="Times New Roman"/>
                <w:b w:val="false"/>
                <w:sz w:val="26"/>
              </w:rPr>
              <w:t>Sửa đổi một số Nghị định liên quan đến điều kiện đầu tư kinh doanh và thủ tục hành chính trong lĩnh vực thông tin và truyền thông</w:t>
            </w:r>
          </w:p>
        </w:tc>
        <w:tc>
          <w:p/>
          <w:p>
            <w:pPr>
              <w:spacing w:after="0" w:before="0" w:lineRule="auto" w:line="276"/>
              <w:jc w:val="left"/>
            </w:pPr>
            <w:r>
              <w:rPr>
                <w:rFonts w:ascii="Times New Roman" w:hAnsi="Times New Roman" w:cs="Times New Roman" w:eastAsia="Times New Roman"/>
                <w:b w:val="false"/>
                <w:sz w:val="26"/>
              </w:rPr>
              <w:t>07-11-2018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01/2020/TT-BTTTT</w:t>
            </w:r>
          </w:p>
        </w:tc>
        <w:tc>
          <w:p/>
          <w:p>
            <w:pPr>
              <w:spacing w:after="0" w:before="0" w:lineRule="auto" w:line="276"/>
              <w:jc w:val="left"/>
            </w:pPr>
            <w:r>
              <w:rPr>
                <w:rFonts w:ascii="Times New Roman" w:hAnsi="Times New Roman" w:cs="Times New Roman" w:eastAsia="Times New Roman"/>
                <w:b w:val="false"/>
                <w:sz w:val="26"/>
              </w:rPr>
              <w:t>Thông tư 01/2020/TT-BTTTT</w:t>
            </w:r>
          </w:p>
        </w:tc>
        <w:tc>
          <w:p/>
          <w:p>
            <w:pPr>
              <w:spacing w:after="0" w:before="0" w:lineRule="auto" w:line="276"/>
              <w:jc w:val="left"/>
            </w:pPr>
            <w:r>
              <w:rPr>
                <w:rFonts w:ascii="Times New Roman" w:hAnsi="Times New Roman" w:cs="Times New Roman" w:eastAsia="Times New Roman"/>
                <w:b w:val="false"/>
                <w:sz w:val="26"/>
              </w:rPr>
              <w:t>07-02-2020</w:t>
            </w:r>
          </w:p>
        </w:tc>
        <w:tc>
          <w:p/>
        </w:tc>
      </w:tr>
      <w:tr>
        <w:tc>
          <w:p/>
          <w:p>
            <w:pPr>
              <w:spacing w:after="0" w:before="0" w:lineRule="auto" w:line="276"/>
              <w:jc w:val="left"/>
            </w:pPr>
            <w:r>
              <w:rPr>
                <w:rFonts w:ascii="Times New Roman" w:hAnsi="Times New Roman" w:cs="Times New Roman" w:eastAsia="Times New Roman"/>
                <w:b w:val="false"/>
                <w:sz w:val="26"/>
              </w:rPr>
              <w:t>23/2023/TT-BTTTT</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01/2020/TT-BTTTT ngày 07 tháng 02 năm 2020 của Bộ trưởng Bộ Thông tin và Truyền thông quy định chi tiết và hướng dẫn thi hành một số điều của Luật Xuất bản và Nghị định số 195/2013/NĐ-CP ngày 21 tháng 11 năm 2013 của Chính phủ quy định chi tiết một số điều và biện pháp thi hành Luật Xuất bản</w:t>
            </w:r>
          </w:p>
        </w:tc>
        <w:tc>
          <w:p/>
          <w:p>
            <w:pPr>
              <w:spacing w:after="0" w:before="0" w:lineRule="auto" w:line="276"/>
              <w:jc w:val="left"/>
            </w:pPr>
            <w:r>
              <w:rPr>
                <w:rFonts w:ascii="Times New Roman" w:hAnsi="Times New Roman" w:cs="Times New Roman" w:eastAsia="Times New Roman"/>
                <w:b w:val="false"/>
                <w:sz w:val="26"/>
              </w:rPr>
              <w:t>31-12-2023</w:t>
            </w:r>
          </w:p>
        </w:tc>
        <w:tc>
          <w:p/>
          <w:p>
            <w:pPr>
              <w:spacing w:after="0" w:before="0" w:lineRule="auto" w:line="276"/>
              <w:jc w:val="left"/>
            </w:pPr>
            <w:r>
              <w:rPr>
                <w:rFonts w:ascii="Times New Roman" w:hAnsi="Times New Roman" w:cs="Times New Roman" w:eastAsia="Times New Roman"/>
                <w:b w:val="false"/>
                <w:sz w:val="26"/>
              </w:rPr>
              <w:t>Bộ Khoa học và Công nghệ ( Bộ TTTT cũ)</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cấp giấy phép hoạt động kinh doanh nhập khẩu xuất bản phẩm bao gồm: 
(1) Có một trong các loại giấy chứng nhận đăng ký kinh doanh, giấy chứng nhận đăng ký doanh nghiệp, giấy chứng nhận đầu tư theo quy định của pháp luật. 
(2) Người đứng đầu cơ sở nhập khẩu xuất bản phẩm phải thường trú tại Việt Nam, có văn bằng do cơ sở đào tạo chuyên ngành cấp hoặc giấy chứng nhận bồi dưỡng kiến thức nghiệp vụ phát hành xuất bản phẩm do cơ quan nhà nước có thẩm 
quyền cấp. 
(3) Có đội ngũ nhân viên đủ năng lực thẩm định nội dung sách trong trường hợp kinh doanh nhập khẩu sách. 
(4) Văn bằng do cơ sở đào tạo chuyên ngành cấp cho người đứng đầu cơ sở nhập khẩu xuất bản phẩm phải là bằng tốt nghiệp đại học trở lên về chuyên ngành phát hành xuất bản phẩm. 
Trường hợp người đứng đầu cơ sở hoạt động kinh doanh nhập khẩu xuất bản phẩm tốt nghiệp đại học trở lên về chuyên ngành khác, phải có giấy chứng nhận bồi dưỡng kiến thức nghiệp vụ phát hành xuất bản phẩm do cơ quan nhà nước có thẩm 
quyền cấp. 
(5) Trường hợp kinh doanh nhập khẩu sách, cần phải có ít nhất năm nhân viên đủ năng lực thẩm định nội dung sách, cụ thể: Phải có thâm niên công tác trong hoạt động xuất bản ở Việt Nam từ 5 năm trở lên, có bằng tốt nghiệp đại học trở lên về 
chuyên ngành ngoại ngữ hoặc có bằng tốt nghiệp đại học trở lên về chuyên ngành khác nhưng có trình độ ngoại ngữ phù hợp với yêu cầu thẩm định nội dung sách nhập khẩu và có giấy chứng nhận bồi dưỡng kiến thức nghiệp vụ phát hành xuất bản phẩm do cơ quan nhà nước có thẩm quyền cấp.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2026-05-26T23:47:08Z</dcterms:created>
  <dc:creator>Apache POI</dc:creator>
</cp:coreProperties>
</file>