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3493/ 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lại giá thuốc sản xuất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thuốc hoặc cơ sở đặt gia công thuốc nộp hồ sơ Kê khai lại giá thuốc sản xuất trong nước về Sở Y tế.</w:t>
      </w:r>
    </w:p>
    <w:p>
      <w:pPr>
        <w:spacing w:after="0" w:before="0" w:lineRule="auto" w:line="276"/>
        <w:jc w:val="both"/>
      </w:pPr>
      <w:r>
        <w:rPr>
          <w:rFonts w:ascii="Times New Roman" w:hAnsi="Times New Roman" w:cs="Times New Roman" w:eastAsia="Times New Roman"/>
          <w:b w:val="false"/>
          <w:sz w:val="26"/>
        </w:rPr>
        <w:t>Bước 2: Sở Y tiếp nhận hồ sơ, kiểm tra hồ sơ và trả Phiếu tiếp nhận hồ sơ kê khai lại giá thuốc.</w:t>
      </w:r>
    </w:p>
    <w:p>
      <w:pPr>
        <w:spacing w:after="0" w:before="0" w:lineRule="auto" w:line="276"/>
        <w:jc w:val="both"/>
      </w:pPr>
      <w:r>
        <w:rPr>
          <w:rFonts w:ascii="Times New Roman" w:hAnsi="Times New Roman" w:cs="Times New Roman" w:eastAsia="Times New Roman"/>
          <w:b w:val="false"/>
          <w:sz w:val="26"/>
        </w:rPr>
        <w:t>Bước 3: Sở Y tế tổ chức rà soát giá thuốc kê khai lại.</w:t>
      </w:r>
    </w:p>
    <w:p>
      <w:pPr>
        <w:spacing w:after="0" w:before="0" w:lineRule="auto" w:line="276"/>
        <w:jc w:val="both"/>
      </w:pPr>
      <w:r>
        <w:rPr>
          <w:rFonts w:ascii="Times New Roman" w:hAnsi="Times New Roman" w:cs="Times New Roman" w:eastAsia="Times New Roman"/>
          <w:b w:val="false"/>
          <w:sz w:val="26"/>
        </w:rPr>
        <w:t>Bước 4: Sở Y tế báo cáo Cục Quản lý Y Dược cổ truyền(đối với thuốc cổ truyền), Cục Quản lý Dược (đối với các thuốc còn lại) các thuốc kê khai lại đối với các trường hợp chưa phát hiện mức giá kê khai lại không hợp lý. Trường hợp mức giá kê khai lại không hợp lý, Sở Y tế thông báo bằng văn bản cho cơ sở kê khai giá xem xét lại mức giá kê khai lại và nêu rõ lý do.</w:t>
      </w:r>
    </w:p>
    <w:p>
      <w:pPr>
        <w:spacing w:after="0" w:before="0" w:lineRule="auto" w:line="276"/>
        <w:jc w:val="both"/>
      </w:pPr>
      <w:r>
        <w:rPr>
          <w:rFonts w:ascii="Times New Roman" w:hAnsi="Times New Roman" w:cs="Times New Roman" w:eastAsia="Times New Roman"/>
          <w:b w:val="false"/>
          <w:sz w:val="26"/>
        </w:rPr>
        <w:t>Bước 5: Cục Quản lý Y Dược cổ truyền (đối với thuốc cổ truyền), Cục Quản lý Dược (đối với các thuốc còn lại) tổng hợp báo cáo của Sở Y tế về giá thuốc kê khai lại và công bố trên Cổng thông tin điện tử của Cục Quản lý Y Dược cổ truyền; đối với thuốc cổ truyền, Cục Quản lý Dược: đối với các thuốc còn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tiếp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tiếp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kê khai lại giá thuốc sản xuất trong nước theo Mẫu số 04 Phụ lục VII của Nghị định số 155/2018/NĐ-CP. Mẫu này được sửa đổi theo quy định tại khoản 3 Điều 2 của Nghị định số 88/2023/NĐ-CP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thuyết minh cơ cấu giá (Theo Mẫu số 10 Phụ lục VII kèm theo Nghị định này). - Bảng so sánh nội dung thay đổi cơ cấu giá so với cơ cấu giá tại Hồ sơ kê khai liền kề. - Công văn phân tích nguyên nhân, nêu rõ biến động của các yếu tố hình thành giá tác động làm tăng hoặc giảm giá bán buôn, bán lẻ dự kiến (nếu có) kê khai. - Các tài liệu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thuốc hoặc cơ sở đặt gia công thuốc phải thực hiện việc kê khai lại giá thuốc sản xuất trong nước khi có nhu cầu điều chỉnh tăng giá so với giá thuốc đã được kê khai hoặc kê khai lại liền kề trước đó được công bố trên Cổng thông tin điện tử của Cục Quản lý Y Dược cổ truyền; đối với thuốc cổ truyền, Cục Quản lý Dược: đối với các thuốc còn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2026-05-26T19:41:25Z</dcterms:created>
  <dc:creator>Apache POI</dc:creator>
</cp:coreProperties>
</file>