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vào cảng, bến thủy nội địa đối với phương tiện, thủy phi cơ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cấp giấy phép vào cảng, bến thủy nội địa đối với phương tiện, thủy phi cơ nộp hồ sơ đến Cảng vụ hàng hải/Cảng vụ Đường thủy nội địa.</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Trước khi phương tiện, thủy phi cơ vào cảng, bến thủy nội địa, người làm thủ tục thông báo về phương tiện (số đăng ký), thời gian sẽ vào, rời cảng, bến thủy nội địa và loại hàng hóa hoặc số lượng hành khách cho Cảng vụ biết. Thông báo bằng tin nhắn, điện thoại hoặc hình thức khác. Thuyền trưởng, người lái phương tiện chỉ được đưa phương tiện, thủy phi cơ vào cảng, bến thủy nội địa khi có đồng ý của Cảng vụ. Thời gian thông báo như sau:
	+ Trước 02 giờ đối với phương tiện vận tải hàng hóa;
	+ Trước 01 giờ đối với phương tiện vận tải hành khách, thủy phi cơ.
- Cảng vụ hàng hải/Cảng vụ ĐTNĐ tiếp nhận, kiểm tra hồ sơ và xử lý trong thời gian 30 phút, kể từ khi nhận đủ giấy tờ theo quy định, trừ tàu biển và phương tiện thủy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Giờ</w:t>
            </w:r>
          </w:p>
        </w:tc>
        <w:tc>
          <w:p/>
          <w:p>
            <w:pPr>
              <w:spacing w:after="0" w:before="0" w:lineRule="auto" w:line="276"/>
              <w:jc w:val="left"/>
            </w:pPr>
            <w:r>
              <w:rPr>
                <w:rFonts w:ascii="Times New Roman" w:hAnsi="Times New Roman" w:cs="Times New Roman" w:eastAsia="Times New Roman"/>
                <w:b w:val="false"/>
                <w:sz w:val="26"/>
              </w:rPr>
              <w:t>Phí :  Đồng</w:t>
              <w:t xml:space="preserve"> (Theo phí, lệ phí quy định tại Thông tư số 248/2016/TT-BTC ngày 11/11/2016 của Bộ Tài chính quy định mức thu, chế độ thu, nộp, quản lý và sử dụng phí, lệ phí áp dụng tại cảng, bến thủy nội địa.)</w:t>
            </w:r>
          </w:p>
        </w:tc>
        <w:tc>
          <w:p/>
          <w:p>
            <w:pPr>
              <w:spacing w:after="0" w:before="0" w:lineRule="auto" w:line="276"/>
              <w:jc w:val="left"/>
            </w:pPr>
            <w:r>
              <w:rPr>
                <w:rFonts w:ascii="Times New Roman" w:hAnsi="Times New Roman" w:cs="Times New Roman" w:eastAsia="Times New Roman"/>
                <w:b w:val="false"/>
                <w:sz w:val="26"/>
              </w:rPr>
              <w:t>Thời hạn giải quyết: Trong thời gian 30 phút, kể từ khi nhận đủ giấy tờ theo quy định, trừ tàu biển và phương tiện thủy nước ngoài.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Giờ</w:t>
            </w:r>
          </w:p>
        </w:tc>
        <w:tc>
          <w:p/>
          <w:p>
            <w:pPr>
              <w:spacing w:after="0" w:before="0" w:lineRule="auto" w:line="276"/>
              <w:jc w:val="left"/>
            </w:pPr>
            <w:r>
              <w:rPr>
                <w:rFonts w:ascii="Times New Roman" w:hAnsi="Times New Roman" w:cs="Times New Roman" w:eastAsia="Times New Roman"/>
                <w:b w:val="false"/>
                <w:sz w:val="26"/>
              </w:rPr>
              <w:t>Phí :  Đồng</w:t>
              <w:t xml:space="preserve"> (Theo phí, lệ phí quy định tại Thông tư số 248/2016/TT-BTC ngày 11/11/2016 của Bộ Tài chính quy định mức thu, chế độ thu, nộp, quản lý và sử dụng phí, lệ phí áp dụng tại cảng, bến thủy nội địa.)</w:t>
            </w:r>
          </w:p>
        </w:tc>
        <w:tc>
          <w:p/>
          <w:p>
            <w:pPr>
              <w:spacing w:after="0" w:before="0" w:lineRule="auto" w:line="276"/>
              <w:jc w:val="left"/>
            </w:pPr>
            <w:r>
              <w:rPr>
                <w:rFonts w:ascii="Times New Roman" w:hAnsi="Times New Roman" w:cs="Times New Roman" w:eastAsia="Times New Roman"/>
                <w:b w:val="false"/>
                <w:sz w:val="26"/>
              </w:rPr>
              <w:t>Các phương thức điện tử sau đây:
- Thủ tục điện tử thông qua Cổng thông tin điện tử của Bộ Xây dựng (phương tiện, tàu biển vận tải nội địa, thủy phi cơ);
- Thủ tục điện tử áp dụng cơ chế một cửa quốc gia (phương tiện, tàu biển xuất, nhập cảnh, phương tiện thủy nước ngoài);
- Thủ tục điện tử thông qua Cơ chế một cửa Asean;
- Hình thức khác theo quy định của pháp luật.
Thời hạn giải quyết: Trong thời gian 30 phút, kể từ khi nhận đủ giấy tờ theo quy định, trừ tàu biển và phương tiện thủy nước ngoài.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phép rời cảng, bến thủy nội địa, trừ trường hợp làm thủ tục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hành khách (đối với phương tiện vận tải hành khách).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chứng nhận đăng ký phương tiện, thủy phi cơ (hoặc bản sao có xác nhận của tổ chức tín dụng trường hợp phương tiện đang cầm cố, thế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an toàn kỹ thuật và bảo vệ môi trường của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khả năng chuyên môn, chứng chỉ chuyên môn của thuyền viên, người lái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danh bạ thuyền viên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vận chuyển hoặc hóa đơn xuất kho hoặc giấy vận chuyển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Bảo hiểm trách nhiệm dân sự (đối với phương tiện thuộc diện bắt buộc phải có bảo hiểm trách nhiệm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đủ điều kiện bay đối với thủy phi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vận chuyển hàng hóa nguy hiểm, phương án vận tải hàng hóa siêu trường, siêu trọng (trường hợp phương tiện vận tải hàng hóa nguy hiểm, hàng hóa siêu trường, siêu trọng);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PHẢI XUẤT TRÌNH GIẤU TỜ:  các giấy tờ trên đã lưu trên cơ sở dữ liệu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Cảng vụ hàng hải, Cảng vụ Đường thủy nội địa</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vào cảng, bến thủy nội địa đối với phương tiện, thủy phi cơ.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248/2016/TT-BTC</w:t>
            </w:r>
          </w:p>
        </w:tc>
        <w:tc>
          <w:p/>
          <w:p>
            <w:pPr>
              <w:spacing w:after="0" w:before="0" w:lineRule="auto" w:line="276"/>
              <w:jc w:val="left"/>
            </w:pPr>
            <w:r>
              <w:rPr>
                <w:rFonts w:ascii="Times New Roman" w:hAnsi="Times New Roman" w:cs="Times New Roman" w:eastAsia="Times New Roman"/>
                <w:b w:val="false"/>
                <w:sz w:val="26"/>
              </w:rPr>
              <w:t>Thông tư 248/2016/TT-BTC</w:t>
            </w:r>
          </w:p>
        </w:tc>
        <w:tc>
          <w:p/>
          <w:p>
            <w:pPr>
              <w:spacing w:after="0" w:before="0" w:lineRule="auto" w:line="276"/>
              <w:jc w:val="left"/>
            </w:pPr>
            <w:r>
              <w:rPr>
                <w:rFonts w:ascii="Times New Roman" w:hAnsi="Times New Roman" w:cs="Times New Roman" w:eastAsia="Times New Roman"/>
                <w:b w:val="false"/>
                <w:sz w:val="26"/>
              </w:rPr>
              <w:t>11-11-2016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2026-05-26T19:41:45Z</dcterms:created>
  <dc:creator>Apache POI</dc:creator>
</cp:coreProperties>
</file>