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lại Giấy chứng nhận đăng ký lưu hành chế phẩm diệt côn trùng, diệt khuẩn dùng trong lĩnh vực gia dụng và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lại Giấy chứng nhận đăng ký lưu hành nộp hồ sơ đến Bộ phận Tiếp nhận và Trả kết quả Bộ Y tế.
Bước 2. Sau khi nhận được hồ sơ đề nghị cấp lại Giấy chứng nhận đăng ký lưu hành, Cục Quản lý Môi trường y tế, Bộ Y tế gửi cho cơ sở đề nghị cấp lại Giấy chứng nhận đăng ký lưu hành Phiếu tiếp nhận hồ sơ theo Mẫu số 07 tại Phụ lục III ban hành kèm theo Nghị định số 91/2016/NĐ-CP.
Bước 3. Trong thời hạn 10 ngày, kể từ ngày ghi trên Phiếu tiếp nhận hồ sơ, Cục Quản lý Môi trường y tế, Bộ Y tế phải cấp lại Giấy chứng nhận đăng ký lưu hành. Trường hợp không cấp lại Giấy chứng nhận đăng ký lưu hành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2.500.000 Đồng</w:t>
            </w:r>
          </w:p>
        </w:tc>
        <w:tc>
          <w:p/>
          <w:p>
            <w:pPr>
              <w:spacing w:after="0" w:before="0" w:lineRule="auto" w:line="276"/>
              <w:jc w:val="left"/>
            </w:pPr>
            <w:r>
              <w:rPr>
                <w:rFonts w:ascii="Times New Roman" w:hAnsi="Times New Roman" w:cs="Times New Roman" w:eastAsia="Times New Roman"/>
                <w:b w:val="false"/>
                <w:sz w:val="26"/>
              </w:rPr>
              <w:t>10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2.500.000 Đồng</w:t>
            </w:r>
          </w:p>
        </w:tc>
        <w:tc>
          <w:p/>
          <w:p>
            <w:pPr>
              <w:spacing w:after="0" w:before="0" w:lineRule="auto" w:line="276"/>
              <w:jc w:val="left"/>
            </w:pPr>
            <w:r>
              <w:rPr>
                <w:rFonts w:ascii="Times New Roman" w:hAnsi="Times New Roman" w:cs="Times New Roman" w:eastAsia="Times New Roman"/>
                <w:b w:val="false"/>
                <w:sz w:val="26"/>
              </w:rPr>
              <w:t>10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2.500.000 Đồng</w:t>
            </w:r>
          </w:p>
        </w:tc>
        <w:tc>
          <w:p/>
          <w:p>
            <w:pPr>
              <w:spacing w:after="0" w:before="0" w:lineRule="auto" w:line="276"/>
              <w:jc w:val="left"/>
            </w:pPr>
            <w:r>
              <w:rPr>
                <w:rFonts w:ascii="Times New Roman" w:hAnsi="Times New Roman" w:cs="Times New Roman" w:eastAsia="Times New Roman"/>
                <w:b w:val="false"/>
                <w:sz w:val="26"/>
              </w:rPr>
              <w:t>10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 đăng ký lưu hành theo Mẫu số 07 tạiPhụ lục I ban hành kèm theo Nghị định số 91/2016/NĐ-CP.</w:t>
            </w:r>
          </w:p>
        </w:tc>
        <w:tc>
          <w:p/>
          <w:p>
            <w:pPr>
              <w:spacing w:after="0" w:before="0" w:lineRule="auto" w:line="276"/>
              <w:jc w:val="left"/>
            </w:pPr>
            <w:r>
              <w:rPr>
                <w:rFonts w:ascii="Times New Roman" w:hAnsi="Times New Roman" w:cs="Times New Roman" w:eastAsia="Times New Roman"/>
                <w:b w:val="false"/>
                <w:sz w:val="26"/>
              </w:rPr>
              <w:t>mẫu số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lưu hành bị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lưu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4- Nghị định 155/2018/NĐ-CP ngày 13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13-11-2018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đối với chế phẩm đăng ký lưu hành: theo quy định tại Điều 19 Nghị định số 91/2016/NĐ-CP.
- Yêu cầu đối với hồ sơ đăng ký trực tuyến: theo quy định tại Điều 52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2026-05-09T03:05:17Z</dcterms:created>
  <dc:creator>Apache POI</dc:creator>
</cp:coreProperties>
</file>