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đối với cơ sở khám bệnh, chữa bệnh khi thay đổi tên cơ sở khám bệnh, chữa bệnh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(GPHĐ) 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theo quy định tại mẫu số 09 Phụ lục XI ban hành kèm theo Nghị định số 109/2016/NĐ-CP cho người đề nghị.</w:t>
      </w:r>
    </w:p>
    <w:p>
      <w:pPr>
        <w:spacing w:after="0" w:before="0" w:lineRule="auto" w:line="276"/>
        <w:jc w:val="both"/>
      </w:pPr>
      <w:r>
        <w:rPr>
          <w:rFonts w:ascii="Times New Roman" w:hAnsi="Times New Roman" w:cs="Times New Roman" w:eastAsia="Times New Roman"/>
          <w:b w:val="false"/>
          <w:sz w:val="26"/>
        </w:rPr>
        <w:t>Bước 3: Trong thời hạn 60 ngày đối với bệnh viện, 45 ngày đối với các hình thức tổ chức khám bệnh, chữa bệnh khác, kể từ ngày nhận đủ hồ sơ, Sở Y tế sẽ xem xét thẩm định hồ sơ  và thẩm định tại cơ sở để cấp GPHĐ:</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GPHĐ, Sở Y tế phải có văn bản trả lời và nêu lý do.</w:t>
      </w:r>
    </w:p>
    <w:p>
      <w:pPr>
        <w:spacing w:after="0" w:before="0" w:lineRule="auto" w:line="276"/>
        <w:jc w:val="both"/>
      </w:pPr>
      <w:r>
        <w:rPr>
          <w:rFonts w:ascii="Times New Roman" w:hAnsi="Times New Roman" w:cs="Times New Roman" w:eastAsia="Times New Roman"/>
          <w:b w:val="false"/>
          <w:sz w:val="26"/>
        </w:rPr>
        <w:t xml:space="preserve">Bước 4 : Trả GPHĐ cho cơ sở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 )</w:t>
            </w:r>
          </w:p>
        </w:tc>
        <w:tc>
          <w:p/>
          <w:p>
            <w:pPr>
              <w:spacing w:after="0" w:before="0" w:lineRule="auto" w:line="276"/>
              <w:jc w:val="left"/>
            </w:pPr>
            <w:r>
              <w:rPr>
                <w:rFonts w:ascii="Times New Roman" w:hAnsi="Times New Roman" w:cs="Times New Roman" w:eastAsia="Times New Roman"/>
                <w:b w:val="false"/>
                <w:sz w:val="26"/>
              </w:rPr>
              <w:t>Trong thời hạn 60 ngày kể từ ngày nhận đủ hồ sơ đối với bệnh viện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45 ngày đối với các hình thức tổ chức khám bệnh, chữa bệnh khác, kể từ ngày nhận đủ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 )</w:t>
            </w:r>
          </w:p>
        </w:tc>
        <w:tc>
          <w:p/>
          <w:p>
            <w:pPr>
              <w:spacing w:after="0" w:before="0" w:lineRule="auto" w:line="276"/>
              <w:jc w:val="left"/>
            </w:pPr>
            <w:r>
              <w:rPr>
                <w:rFonts w:ascii="Times New Roman" w:hAnsi="Times New Roman" w:cs="Times New Roman" w:eastAsia="Times New Roman"/>
                <w:b w:val="false"/>
                <w:sz w:val="26"/>
              </w:rPr>
              <w:t>Trong thời hạn 60 ngày đối với bệnh viện,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45 ngày đối với các hình thức tổ chức khám bệnh, chữa bệnh khác,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tổ chức và nhân sự của cơ sở khám bệnh, chữa bệnh theo Mẫu 02 Phụ lục XI ban hành kèm theo Nghị định 109/2016/NĐ-CP (nếu có sự thay đổi so với trước đây)</w:t>
            </w:r>
          </w:p>
        </w:tc>
        <w:tc>
          <w:p/>
          <w:p>
            <w:pPr>
              <w:spacing w:after="0" w:before="0" w:lineRule="auto" w:line="276"/>
              <w:jc w:val="left"/>
            </w:pPr>
            <w:r>
              <w:rPr>
                <w:rFonts w:ascii="Times New Roman" w:hAnsi="Times New Roman" w:cs="Times New Roman" w:eastAsia="Times New Roman"/>
                <w:b w:val="false"/>
                <w:sz w:val="26"/>
              </w:rPr>
              <w:t>ND109_2016_mau 02_Phu luc 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Nghị định 109/2016/NĐ-CP (nếu có sự thay đổi so với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tổ chức và hoạt động đối với bệnh viện nhà nước thực hiện theo mẫu quy định của Bộ trưởng Bộ Y tế; đối với bệnh viện tư nhân thực hiện theo Mẫu 03 Phụ lục XI ban hành kèm theo Nghị định 109/2016/NĐ-CP và phương án hoạt động ban đầu đối với bệnh viện (nếu có sự thay đổi so với trước đây)</w:t>
            </w:r>
          </w:p>
        </w:tc>
        <w:tc>
          <w:p/>
          <w:p>
            <w:pPr>
              <w:spacing w:after="0" w:before="0" w:lineRule="auto" w:line="276"/>
              <w:jc w:val="left"/>
            </w:pPr>
            <w:r>
              <w:rPr>
                <w:rFonts w:ascii="Times New Roman" w:hAnsi="Times New Roman" w:cs="Times New Roman" w:eastAsia="Times New Roman"/>
                <w:b w:val="false"/>
                <w:sz w:val="26"/>
              </w:rPr>
              <w:t>ND109_2016_mau 03_Phu luc 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05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ND109_2016_mau 05_Phu luc 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quyết định thành lập hoặc văn bản có tên của cơ sở khám bệnh, chữa bệnh của cơ quan nhà nước có thẩm quyền đối với cơ sở khám bệnh, chữa bệnh của Nhà nước hoặc giấy chứng nhận đăng ký doanh nghiệp đối với cơ sở khám bệnh, chữa bệnh tư nhân hoặc giấy chứng nhận đầu tư đối với cơ sở khám bệnh, chữa bệnh có vốn đầu tư nước ngoài (nếu có sự thay đổi so với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chứng chỉ hành nghề của người chịu trách nhiệm chuyên môn kỹ thuật của cơ sở khám bệnh, chữa bệnh; người phụ trách bộ phận chuyên môn của cơ sở khám bệnh, chữa bệnh (nếu có sự thay đổi so với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đăng ký người hành nghề tại cơ sở khám bệnh, chữa bệnh (bao gồm đăng ký người hành nghề và người làm việc chuyên môn y tế tại cơ sở nhưng không thuộc diện phải cấp chứng chỉ hành nghề) theo mẫu quy định tại Phụ lục IV ban hành kèm theo Nghị định 109/2016/NĐ-CP (nếu có sự thay đổi so với trước đây)</w:t>
            </w:r>
          </w:p>
        </w:tc>
        <w:tc>
          <w:p/>
          <w:p>
            <w:pPr>
              <w:spacing w:after="0" w:before="0" w:lineRule="auto" w:line="276"/>
              <w:jc w:val="left"/>
            </w:pPr>
            <w:r>
              <w:rPr>
                <w:rFonts w:ascii="Times New Roman" w:hAnsi="Times New Roman" w:cs="Times New Roman" w:eastAsia="Times New Roman"/>
                <w:b w:val="false"/>
                <w:sz w:val="26"/>
              </w:rPr>
              <w:t>ND109_2016_mau 04_Phu luc 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hợp đồng vận chuyển người bệnh đối với bệnh viện, nhà hộ sinh không có phương tiện vận chuyển cấp cứu ngoài cơ sở (nếu có sự thay đổi so với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chuyên môn kỹ thuật của cơ sở khám bệnh, chữa bệnh đề xuất trên cơ sở danh mục chuyên môn kỹ thuật do Bộ trưởng Bộ Y tế ban hành (nếu có sự thay đổi so với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cơ sở dịch vụ cấp cứu, hỗ trợ vận chuyển người bệnh: Bản sao hợp lệ hợp đồng hỗ trợ chuyên môn với bệnh viện. Trong trường hợp có cung cấp dịch vụ vận chuyển người bệnh ra nước ngoài cần có bản sao hợp lệ hợp đồng vận chuyển người bệnh với công ty dịch vụ hàng không (nếu có sự thay đổi so với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2026-05-18T14:29:35Z</dcterms:created>
  <dc:creator>Apache POI</dc:creator>
</cp:coreProperties>
</file>