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cơ sở khám bệnh, chữa bệnh khi thay đổi tên cơ sở khám bệnh, chữa bệnh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Bộ Y tế;</w:t>
      </w:r>
    </w:p>
    <w:p>
      <w:pPr>
        <w:spacing w:after="0" w:before="0" w:lineRule="auto" w:line="276"/>
        <w:jc w:val="both"/>
      </w:pPr>
      <w:r>
        <w:rPr>
          <w:rFonts w:ascii="Times New Roman" w:hAnsi="Times New Roman" w:cs="Times New Roman" w:eastAsia="Times New Roman"/>
          <w:b w:val="false"/>
          <w:sz w:val="26"/>
        </w:rPr>
        <w:t>Bước 2: Bộ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60 ngày đối với bệnh viện, 45 ngày đối với các hình thức tổ chức khám bệnh, chữa bệnh khác, kể từ ngày nhận đủ hồ sơ, Bộ Y tế sẽ xem xét thẩm định hồ sơ và thẩm định tại cơ sở xin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Bộ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Bộ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GPHĐ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đối với các hình thức tổ chức khám bệnh, chữa bệnh khác,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đối với các hình thức tổ chức khám bệnh, chữa bệnh khác,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05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ND109_2016_mau 05_Phu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 (nếu có sự thay đổi so với hồ sơ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chịu trách nhiệm chuyên môn kỹ thuật của cơ sở khám bệnh, chữa bệnh; người phụ trách bộ phận chuyên môn của cơ sở khám bệnh, chữa bệnh (nếu có sự thay đổi so với hồ sơ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 (nếu có sự thay đổi so với hồ sơ trước)</w:t>
            </w:r>
          </w:p>
        </w:tc>
        <w:tc>
          <w:p/>
          <w:p>
            <w:pPr>
              <w:spacing w:after="0" w:before="0" w:lineRule="auto" w:line="276"/>
              <w:jc w:val="left"/>
            </w:pPr>
            <w:r>
              <w:rPr>
                <w:rFonts w:ascii="Times New Roman" w:hAnsi="Times New Roman" w:cs="Times New Roman" w:eastAsia="Times New Roman"/>
                <w:b w:val="false"/>
                <w:sz w:val="26"/>
              </w:rPr>
              <w:t>ND109_2016_mau 04_Phu luc IV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 (nếu có sự thay đổi so với hồ sơ trước)</w:t>
            </w:r>
          </w:p>
        </w:tc>
        <w:tc>
          <w:p/>
          <w:p>
            <w:pPr>
              <w:spacing w:after="0" w:before="0" w:lineRule="auto" w:line="276"/>
              <w:jc w:val="left"/>
            </w:pPr>
            <w:r>
              <w:rPr>
                <w:rFonts w:ascii="Times New Roman" w:hAnsi="Times New Roman" w:cs="Times New Roman" w:eastAsia="Times New Roman"/>
                <w:b w:val="false"/>
                <w:sz w:val="26"/>
              </w:rPr>
              <w:t>ND109_2016_mau 02_Phu luc XI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 (nếu có sự thay đổi so với hồ sơ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đối với bệnh viện nhà nước thực hiện theo mẫu quy định của Bộ trưởng Bộ Y tế; đối với bệnh viện tư nhân thực hiện theo Mẫu 03 Phụ lục XI ban hành kèm theo Nghị định 109/2016/NĐ-CP và phương án hoạt động ban đầu đối với bệnh viện (nếu có sự thay đổi so với hồ sơ trước)</w:t>
            </w:r>
          </w:p>
        </w:tc>
        <w:tc>
          <w:p/>
          <w:p>
            <w:pPr>
              <w:spacing w:after="0" w:before="0" w:lineRule="auto" w:line="276"/>
              <w:jc w:val="left"/>
            </w:pPr>
            <w:r>
              <w:rPr>
                <w:rFonts w:ascii="Times New Roman" w:hAnsi="Times New Roman" w:cs="Times New Roman" w:eastAsia="Times New Roman"/>
                <w:b w:val="false"/>
                <w:sz w:val="26"/>
              </w:rPr>
              <w:t>ND109_2016_mau 03_Phu luc XI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vận chuyển người bệnh đối với bệnh viện, nhà hộ sinh không có phương tiện vận chuyển cấp cứu ngoài cơ sở (nếu có sự thay đổi so với hồ sơ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 (nếu có sự thay đổi so với hồ sơ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cơ sở dịch vụ cấp cứu, hỗ trợ vận chuyển người bệnh: Bản sao hợp lệ hợp đồng hỗ trợ chuyên môn với bệnh viện. Trong trường hợp có cung cấp dịch vụ vận chuyển người bệnh ra nước ngoài cần có bản sao hợp lệ hợp đồng vận chuyển người bệnh với công ty dịch vụ hàng không (nếu có sự thay đổi so với hồ sơ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2026-05-18T15:33:16Z</dcterms:created>
  <dc:creator>Apache POI</dc:creator>
</cp:coreProperties>
</file>