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tổ chức triển lãm, hội chợ xuất bản phẩm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Việc tổ chức triển lãm, hội chợ xuất bản phẩm tại Việt Nam của cơ quan, tổ chức, cá nhân Việt Nam và nước ngoài phải được cơ quan quản lý nhà nước về hoạt động xuất bản cấp giấy phép.</w:t>
      </w:r>
    </w:p>
    <w:p>
      <w:pPr>
        <w:spacing w:after="0" w:before="0" w:lineRule="auto" w:line="276"/>
        <w:jc w:val="both"/>
      </w:pPr>
      <w:r>
        <w:rPr>
          <w:rFonts w:ascii="Times New Roman" w:hAnsi="Times New Roman" w:cs="Times New Roman" w:eastAsia="Times New Roman"/>
          <w:b w:val="false"/>
          <w:sz w:val="26"/>
        </w:rPr>
        <w:t>- Cơ quan, tổ chức ở trung ương; cơ quan, tổ chức, cá nhân nước ngoài gửi hồ sơ đề nghị cấp giấy phép tổ chức triển lãm, hội chợ xuất bản phẩm đến Cục Xuất bản, In và Phát hành (Bộ Văn hóa, Thể thao và Du lịch).</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đủ hồ sơ, Cục Xuất bản, In và Phát hành phải cấp giấy phép tổ chức triển lãm, hội chợ xuất bản phẩm; trường hợp không cấp giấy phép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tổ chức triển lãm/ hội chợ xuất bản phẩm  (trong đó ghi rõ mục đích, thời gian, địa điểm và tên các đơn vị tham gia triển  lãm, hội chợ) (Mẫu số 32 Phụ lục kèm theo Thông tư số 23/2023/TT-BTTTT);</w:t>
            </w:r>
          </w:p>
        </w:tc>
        <w:tc>
          <w:p/>
          <w:p>
            <w:pPr>
              <w:spacing w:after="0" w:before="0" w:lineRule="auto" w:line="276"/>
              <w:jc w:val="left"/>
            </w:pPr>
            <w:r>
              <w:rPr>
                <w:rFonts w:ascii="Times New Roman" w:hAnsi="Times New Roman" w:cs="Times New Roman" w:eastAsia="Times New Roman"/>
                <w:b w:val="false"/>
                <w:sz w:val="26"/>
              </w:rPr>
              <w:t>Mus32-nNcpGPTCTLHC.doc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Danh mục xuất bản phẩm để triển lãm, hội chợ theo mẫu quy định (Mẫu  số 33 Phụ lục kèm theo Thông tư số 23/2023/TT-BTTTT)</w:t>
            </w:r>
          </w:p>
        </w:tc>
        <w:tc>
          <w:p/>
          <w:p>
            <w:pPr>
              <w:spacing w:after="0" w:before="0" w:lineRule="auto" w:line="276"/>
              <w:jc w:val="left"/>
            </w:pPr>
            <w:r>
              <w:rPr>
                <w:rFonts w:ascii="Times New Roman" w:hAnsi="Times New Roman" w:cs="Times New Roman" w:eastAsia="Times New Roman"/>
                <w:b w:val="false"/>
                <w:sz w:val="26"/>
              </w:rPr>
              <w:t>Mus33-DMXBPTLHC.doc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bản, In và Phát hành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Xuất bản, In và Phát hành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Xuất bản, In và Phát hành  Số 10 Đường Thành,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tổ chức triển lãm/hội chợ xuất bản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19/2012/QH13</w:t>
            </w:r>
          </w:p>
        </w:tc>
        <w:tc>
          <w:p/>
          <w:p>
            <w:pPr>
              <w:spacing w:after="0" w:before="0" w:lineRule="auto" w:line="276"/>
              <w:jc w:val="left"/>
            </w:pPr>
            <w:r>
              <w:rPr>
                <w:rFonts w:ascii="Times New Roman" w:hAnsi="Times New Roman" w:cs="Times New Roman" w:eastAsia="Times New Roman"/>
                <w:b w:val="false"/>
                <w:sz w:val="26"/>
              </w:rPr>
              <w:t>Luật xuất bản</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195/2013/NĐ-CP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21-11-2013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01/2020/TT-BTTTT</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Xuất bản và Nghị định 195/2013/NĐ-CP ngày 21/11/2013 của Chính phủ 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07-02-2020</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23/2023/TT-BTTTT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01/2020/TT-BTTTT ngày 07 tháng 02 năm 2020 của Bộ trưởng Bộ Thông tin và Truyền thông quy định chi tiết và hướng dẫn thi hành một số điều của Luật Xuất bản và Nghị định số 195/2013/NĐ-CP ngày 21 tháng 11 năm 2013 của Chính phủ 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2026-05-09T03:12:15Z</dcterms:created>
  <dc:creator>Apache POI</dc:creator>
</cp:coreProperties>
</file>