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2305/QĐ-BNNMT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cho các hoạt động trong phạm vi bảo vệ công trình thủy lợi trong trường hợp bị mất, bị rách, hư hỏng thuộc thẩm quyền cấp phép của Bộ Nông nghiệp và Môi trường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đơn đề nghị cấp lại giấy phép đến Cục Quản lý và Xây dựng công trình thủy lợi thuộc Bộ Nông nghiệp và Môi trường</w:t>
      </w:r>
    </w:p>
    <w:p>
      <w:pPr>
        <w:spacing w:after="0" w:before="0" w:lineRule="auto" w:line="276"/>
        <w:jc w:val="both"/>
      </w:pPr>
      <w:r>
        <w:rPr>
          <w:rFonts w:ascii="Times New Roman" w:hAnsi="Times New Roman" w:cs="Times New Roman" w:eastAsia="Times New Roman"/>
          <w:b w:val="false"/>
          <w:sz w:val="26"/>
        </w:rPr>
        <w:t>Bước 2: Xem xét hồ sơ và trình phê duyệt:
Trong thời hạn 03 ngày làm việc, kể từ ngày nhận được hồ sơ cơ quan có thẩm quyền cấp giấy phép tổ chức thẩm định hồ sơ, nếu đủ điều kiện thì cấp lại giấy phép; trường hợp không đủ điều kiện để cấp giấy phép thì trả lại hồ sơ và thông báo bằng văn bản nêu rõ lý do không cấp lại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Đơn đề nghị cấp lại giấy phép.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phép theo Mẫu số 03 (Quy định tại Phụ lục ban hành kèm theo Nghị định số 40/2023/NĐ-CP ngày 27/6/2023).</w:t>
            </w:r>
          </w:p>
        </w:tc>
        <w:tc>
          <w:p/>
          <w:p>
            <w:pPr>
              <w:spacing w:after="0" w:before="0" w:lineRule="auto" w:line="276"/>
              <w:jc w:val="left"/>
            </w:pPr>
            <w:r>
              <w:rPr>
                <w:rFonts w:ascii="Times New Roman" w:hAnsi="Times New Roman" w:cs="Times New Roman" w:eastAsia="Times New Roman"/>
                <w:b w:val="false"/>
                <w:sz w:val="26"/>
              </w:rPr>
              <w:t>Phuluckemtheomau03.docx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và Xây dựng công trình thuỷ lợi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10 Đường Tôn Thất Thuyết, Phường Mỹ Đình 2, Quận Nam Từ Liêm,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cho các hoạt động trong phạm vi bảo vệ công trình thủy lợi trong trường hợp bị mất, bị rách, hư hỏng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67/2018/NĐ-CP</w:t>
            </w:r>
          </w:p>
        </w:tc>
        <w:tc>
          <w:p/>
          <w:p>
            <w:pPr>
              <w:spacing w:after="0" w:before="0" w:lineRule="auto" w:line="276"/>
              <w:jc w:val="left"/>
            </w:pPr>
            <w:r>
              <w:rPr>
                <w:rFonts w:ascii="Times New Roman" w:hAnsi="Times New Roman" w:cs="Times New Roman" w:eastAsia="Times New Roman"/>
                <w:b w:val="false"/>
                <w:sz w:val="26"/>
              </w:rPr>
              <w:t>67/2018/NĐ-CP</w:t>
            </w:r>
          </w:p>
        </w:tc>
        <w:tc>
          <w:p/>
          <w:p>
            <w:pPr>
              <w:spacing w:after="0" w:before="0" w:lineRule="auto" w:line="276"/>
              <w:jc w:val="left"/>
            </w:pPr>
            <w:r>
              <w:rPr>
                <w:rFonts w:ascii="Times New Roman" w:hAnsi="Times New Roman" w:cs="Times New Roman" w:eastAsia="Times New Roman"/>
                <w:b w:val="false"/>
                <w:sz w:val="26"/>
              </w:rPr>
              <w:t>14-05-2018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40/2023/NĐ-CP</w:t>
            </w:r>
          </w:p>
        </w:tc>
        <w:tc>
          <w:p/>
          <w:p>
            <w:pPr>
              <w:spacing w:after="0" w:before="0" w:lineRule="auto" w:line="276"/>
              <w:jc w:val="left"/>
            </w:pPr>
            <w:r>
              <w:rPr>
                <w:rFonts w:ascii="Times New Roman" w:hAnsi="Times New Roman" w:cs="Times New Roman" w:eastAsia="Times New Roman"/>
                <w:b w:val="false"/>
                <w:sz w:val="26"/>
              </w:rPr>
              <w:t>Nghị định 40/2023/NĐ-CP sửa đổi Nghị định 67/2018/NĐ-CP hướng dẫn Luật Thủy lợi</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phép bị mất, bị rách,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2026-05-27T19:25:30Z</dcterms:created>
  <dc:creator>Apache POI</dc:creator>
</cp:coreProperties>
</file>