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tư vấn, giới thiệu việc làm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lao động làm việc theo hợp đồng lao động/hợp đồng làm việc đang đóng bảo hiểm thất nghiệp bị chấm dứt hợp đồng lao động hoặc hợp đồng làm việc mà có nhu cầu tìm kiếm việc làm được tư vấn, giới thiệu việc làm miễn phí thông qua trung tâm dịch vụ việc làm.
- Bước 2: Người lao động ghi đầy đủ các thông tin vào phiếu tư vấn, giới thiệu việc làm theo Mẫu số 01 ban hành kèm theo Thông tư số 15/2023/TT-BLĐTBXH và nộp trực tiếp cho trung tâm dịch vụ việc làm.
- Bước 3: Trung tâm dịch vụ việc làm có trách nhiệm tiếp nhận phiếu tư vấn, giới thiệu việc làm và căn cứ vào nhu cầu, khả năng của người lao động, nhu cầu tuyển lao động của người sử dụng lao động để kết nối việc làm phù hợp với người lao động.
- Bước 4: Trung tâm dịch vụ việc làm gửi cho người lao động phiếu giới thiệu việc làm theo Mẫu số 02 ban hành kèm theo Thông tư số 15/2023/TT-BLĐTBXH và có trách nhiệm theo dõi kết quả dự tuyển lao động để kịp thời hỗ trợ người lao động.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lao động phải trực tiếp nộp phiếu tư vấn, giới thiệu việc làm tại trung tâm dịch vụ việc làm và được tư vấn, giới thiệu việc làm 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tư vấn, giới thiệu việc làm theo Mẫu số 01 ban hành kèm theo Thông tư số 15/2023/TT-BLĐTBXH</w:t>
            </w:r>
          </w:p>
        </w:tc>
        <w:tc>
          <w:p/>
          <w:p>
            <w:pPr>
              <w:spacing w:after="0" w:before="0" w:lineRule="auto" w:line="276"/>
              <w:jc w:val="left"/>
            </w:pPr>
            <w:r>
              <w:rPr>
                <w:rFonts w:ascii="Times New Roman" w:hAnsi="Times New Roman" w:cs="Times New Roman" w:eastAsia="Times New Roman"/>
                <w:b w:val="false"/>
                <w:sz w:val="26"/>
              </w:rPr>
              <w:t>9.Mus01BanhnhkmtheoThngts152023.docx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Dịch vụ việc làm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dịch vụ việc làm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Người lao động được tư vấn, giới thiệu việc làm miễn phí.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Việc làm</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28/2015/NĐ-CP</w:t>
            </w:r>
          </w:p>
        </w:tc>
        <w:tc>
          <w:p/>
          <w:p>
            <w:pPr>
              <w:spacing w:after="0" w:before="0" w:lineRule="auto" w:line="276"/>
              <w:jc w:val="left"/>
            </w:pPr>
            <w:r>
              <w:rPr>
                <w:rFonts w:ascii="Times New Roman" w:hAnsi="Times New Roman" w:cs="Times New Roman" w:eastAsia="Times New Roman"/>
                <w:b w:val="false"/>
                <w:sz w:val="26"/>
              </w:rPr>
              <w:t>NGHỊ ĐỊNH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12-03-2015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28/2015/TT-BLĐTBXH</w:t>
            </w:r>
          </w:p>
        </w:tc>
        <w:tc>
          <w:p/>
          <w:p>
            <w:pPr>
              <w:spacing w:after="0" w:before="0" w:lineRule="auto" w:line="276"/>
              <w:jc w:val="left"/>
            </w:pPr>
            <w:r>
              <w:rPr>
                <w:rFonts w:ascii="Times New Roman" w:hAnsi="Times New Roman" w:cs="Times New Roman" w:eastAsia="Times New Roman"/>
                <w:b w:val="false"/>
                <w:sz w:val="26"/>
              </w:rPr>
              <w:t>THÔNG TƯ  Hướng dẫn thực hiện Điều 52 của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31-07-2015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61/2020/NĐ-CP</w:t>
            </w:r>
          </w:p>
        </w:tc>
        <w:tc>
          <w:p/>
          <w:p>
            <w:pPr>
              <w:spacing w:after="0" w:before="0" w:lineRule="auto" w:line="276"/>
              <w:jc w:val="left"/>
            </w:pPr>
            <w:r>
              <w:rPr>
                <w:rFonts w:ascii="Times New Roman" w:hAnsi="Times New Roman" w:cs="Times New Roman" w:eastAsia="Times New Roman"/>
                <w:b w:val="false"/>
                <w:sz w:val="26"/>
              </w:rPr>
              <w:t>Nghị định 61/2020/NĐ-CP</w:t>
            </w:r>
          </w:p>
        </w:tc>
        <w:tc>
          <w:p/>
          <w:p>
            <w:pPr>
              <w:spacing w:after="0" w:before="0" w:lineRule="auto" w:line="276"/>
              <w:jc w:val="left"/>
            </w:pPr>
            <w:r>
              <w:rPr>
                <w:rFonts w:ascii="Times New Roman" w:hAnsi="Times New Roman" w:cs="Times New Roman" w:eastAsia="Times New Roman"/>
                <w:b w:val="false"/>
                <w:sz w:val="26"/>
              </w:rPr>
              <w:t>29-05-2020</w:t>
            </w:r>
          </w:p>
        </w:tc>
        <w:tc>
          <w:p/>
        </w:tc>
      </w:tr>
      <w:tr>
        <w:tc>
          <w:p/>
          <w:p>
            <w:pPr>
              <w:spacing w:after="0" w:before="0" w:lineRule="auto" w:line="276"/>
              <w:jc w:val="left"/>
            </w:pPr>
            <w:r>
              <w:rPr>
                <w:rFonts w:ascii="Times New Roman" w:hAnsi="Times New Roman" w:cs="Times New Roman" w:eastAsia="Times New Roman"/>
                <w:b w:val="false"/>
                <w:sz w:val="26"/>
              </w:rPr>
              <w:t>15/2023/TT-BLĐTBXH</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28/2015/TT-BLĐTBXH ngày 31 tháng 7 năm 2015 hướng dẫn thực hiện Điều 52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lao động đang đóng bảo hiểm thất nghiệp bị chấm dứt hợp đồng lao động hoặc hợp đồng làm việc có nhu cầu tìm kiếm việc làm, bao gồm:
- Hợp đồng lao động hoặc hợp đồng làm việc không xác định thời hạn;
- Hợp đồng lao động hoặc hợp đồng làm việc xác định thời hạn;
- Hợp đồng lao động mùa vụ hoặc theo một công việc nhất định có thời hạn từ đủ 03 tháng đến dưới 12 tháng.
Trong trường hợp người lao động giao kết và đang thực hiện nhiều hợp đồng lao động quy định trên thì người lao động và người sử dụng lao động của hợp đồng lao động giao kết đầu tiên có trách nhiệm tham gia bảo hiểm thất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2026-05-24T16:06:55Z</dcterms:created>
  <dc:creator>Apache POI</dc:creator>
</cp:coreProperties>
</file>