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đóng tạm thời sân bay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vùng trời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sở hữu sân bay chuyên dùng gửi hồ sơ qua hệ thống bưu chính đến đến Bộ Tổng Tham mưu (qua Cục Tác chiến);</w:t>
      </w:r>
    </w:p>
    <w:p>
      <w:pPr>
        <w:spacing w:after="0" w:before="0" w:lineRule="auto" w:line="276"/>
        <w:jc w:val="both"/>
      </w:pPr>
      <w:r>
        <w:rPr>
          <w:rFonts w:ascii="Times New Roman" w:hAnsi="Times New Roman" w:cs="Times New Roman" w:eastAsia="Times New Roman"/>
          <w:b w:val="false"/>
          <w:sz w:val="26"/>
        </w:rPr>
        <w:t>Trường hợp hồ sơ không hợp lệ, trong thời hạn 05 ngày làm việc, Bộ Tổng Tham mưu có trách nhiệm thông báo bằng văn bản cho chủ sở hữu sân bay chuyên dùng để hoàn thiện hồ sơ theo quy định.</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hợp lệ, Bộ Tổng Tham mưu ra quyết định đóng tạm thời sân bay chuyên dùng sau khi có văn bản thống nhất của Bộ Giao thông vận tải và thông báo đến chủ sở hữu sân bay và các cơ quan, tổ chức, cá nhân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đơn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đóng tạm thời sân bay chuyên dùng, bãi cất, hạ cánh</w:t>
            </w:r>
          </w:p>
        </w:tc>
        <w:tc>
          <w:p/>
          <w:p>
            <w:pPr>
              <w:spacing w:after="0" w:before="0" w:lineRule="auto" w:line="276"/>
              <w:jc w:val="left"/>
            </w:pPr>
            <w:r>
              <w:rPr>
                <w:rFonts w:ascii="Times New Roman" w:hAnsi="Times New Roman" w:cs="Times New Roman" w:eastAsia="Times New Roman"/>
                <w:b w:val="false"/>
                <w:sz w:val="26"/>
              </w:rPr>
              <w:t>Mẫu số 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Tác chiến/Bộ Tổng Tham mưu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Tổng Tham mưu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đóng tạm thời sân bay chuyên dùng.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42/2016/NĐ-CP</w:t>
            </w:r>
          </w:p>
        </w:tc>
        <w:tc>
          <w:p/>
          <w:p>
            <w:pPr>
              <w:spacing w:after="0" w:before="0" w:lineRule="auto" w:line="276"/>
              <w:jc w:val="left"/>
            </w:pPr>
            <w:r>
              <w:rPr>
                <w:rFonts w:ascii="Times New Roman" w:hAnsi="Times New Roman" w:cs="Times New Roman" w:eastAsia="Times New Roman"/>
                <w:b w:val="false"/>
                <w:sz w:val="26"/>
              </w:rPr>
              <w:t>Nghị định số 42/2016/NĐ-CP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Hoạt động của sân bay chuyên dùng ảnh hưởng đến quốc phòng, an ninh, chủ quyền và lợi ích quốc gia; ảnh hưởng đến an toàn, an ninh hàng không, môi trường và có hoạt động trái pháp luật khác;
- Sân bay chuyên dùng hết thời hạn sử dụng hoặc có nguy cơ gây mất an toàn, gây sự cố công trình ảnh hưởng đến an toàn bay;
- Sân bay chuyên dùng không còn phù hợp với quy hoạch tổng thể đô thị, quy hoạch vùng, ngành, địa phương; ảnh hưởng đến ranh giới, định hướng phát triển không gian, phá vỡ hành lang bảo vệ công trình quốc phòng, an ninh và khu vực bảo vệ các công trình khác theo quy định của pháp luật;
- Xây dựng sân bay chuyên dùng không đúng thiết kế chi tiết xây dựng hoặc không tuân thủ tiêu chuẩn kỹ thuật áp dụng cho công trình được lựa chọn;
- Do yêu cầu cấp thiết cho việc khai thác, sử dụng đất đai, khu vực mặt nước để phục vụ nhiệm vụ quốc phòng, an ninh và phát triển không gian đô thị; xây dựng các trung tâm kinh tế, chính trị theo quy hoạch phát triển kinh tế, xã hội của địa phương hoặc đã có sân bay khác thay thế vì mang lại giá trị cao hơn về mặt quốc phòng, an ninh, kinh tế, xã hội; hoặc sử dụng sân bay chuyên dùng sai mục đích, ảnh hưởng đến các hoạt động hợp pháp của khu vực công cộng và khu vực chung;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2026-05-20T05:04:01Z</dcterms:created>
  <dc:creator>Apache POI</dc:creator>
</cp:coreProperties>
</file>