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lưu hành bổ sung do thay đổi tác dụng, liều lượng sử dụng, phương pháp sử dụng, hàm lượng hoạt chất, hàm lượng phụ gia cộng hưởng, dạng chế phẩm, hạn sử dụng, nguồn hoạt chất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đăng ký lưu hành bổ sung nộp hồ sơ đến Bộ phận Tiếp nhận và Trả kết quả Bộ Y tế.
Bước 2: Sau khi nhận được hồ sơ đăng ký lưu hành bổ sung đầy đủ và phí thẩm định hồ sơ, Cục Quản lý Môi trường y tế, Bộ Y tế gửi cho cơ sở đăng ký Phiếu tiếp nhận hồ sơ theo Mẫu số 05 tại Phụ lục III ban hành kèm theo Nghị định số 91/2016/NĐ-CP.
Bước 3: Đối với trường hợp thay đổi hạn sử dụng chế phẩm, trong thời hạn 30 ngày, kể từ ngày ghi trên Phiếu tiếp nhận hồ sơ, Cục Quản lý Môi trường y tế, Bộ Y tế thông báo bằng văn bản cho cơ sở đăng ký về việc yêu cầu sửa đổi, bổ sung hồ sơ hoặc cho phép bổ sung hoặc không cho phép bổ sung Giấy chứng nhận đăng ký lưu hành và nêu rõ lý do.
Đối với các trường hợp khác, trong thời hạn 30 ngày, kể từ ngày ghi trên Phiếu tiếp nhận hồ sơ, Cục Quản lý Môi trường y tế, Bộ Y tế thông báo bằng văn bản cho cơ sở đăng ký về việc yêu cầu sửa đổi, bổ sung hồ sơ hoặc cho phép khảo nghiệm hoặc không cho phép khảo nghiệm và nêu rõ lý do.
Bước 4: Trường hợp Cục Quản lý Môi trường y tế, Bộ Y tế có văn bản yêu cầu sửa đổi, bổ sung hồ sơ, trong thời hạn 90 ngày kể từ ngày ghi trên văn bản, cơ sở đăng ký lưu hành bổ sung phải hoàn chỉnh hồ sơ, giải trình bằng văn bản và gửi đến Bộ Y tế. Ngày tiếp nhận hồ sơ bổ sung, sửa đổi được ghi trên Phiếu tiếp nhận hồ sơ. Quá thời hạn trên, hồ sơ đăng ký lưu hành bổ sung sẽ bị hủy bỏ.
Trường hợp cơ sở đăng ký không nộp hồ sơ đúng thời hạn theo quy định vì lý do bất khả kháng như: thiên tai, thảm họa, dịch bệnh, hỏa hoạn,… thì được nộp hồ sơ muộn không quá 12 tháng kể từ ngày hết hạn bổ sung hồ sơ kèm theo văn bản giải trình.
Trường hợp Cục Quản lý Môi trường y tế, Bộ Y tế có văn bản cho phép khảo nghiệm, trong thời gian tối đa 12 tháng kể từ ngày ghi trên công văn cho phép khảo nghiệm, cơ sở đăng ký lưu hành bổ sung phải nộp kết quả khảo nghiệm để bổ sung vào hồ sơ. 
Bước 5: Trong thời hạn 30 ngày, kể từ ngày nhận được Phiếu trả lời kết quả khảo nghiệm và phí thẩm định hồ sơ đăng ký lưu hành bổ sung, Cục Quản lý Môi trường y tế phải có văn bản thông báo yêu cầu sửa đổi, bổ sung hồ sơ hoặc cho phép hoặc không cho phép bổ sung Giấy chứng nhận đăng ký lưu hành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2.500.000 Đồng</w:t>
              <w:t xml:space="preserve"> (Phí thẩm định hồ sơ đăng ký lưu hành bổ sung (nộp cùng với Phiếu trả lời kết quả khảo nghiệm))</w:t>
            </w:r>
          </w:p>
          <w:p>
            <w:pPr>
              <w:spacing w:after="0" w:before="0" w:lineRule="auto" w:line="276"/>
              <w:jc w:val="left"/>
            </w:pPr>
            <w:r>
              <w:rPr>
                <w:rFonts w:ascii="Times New Roman" w:hAnsi="Times New Roman" w:cs="Times New Roman" w:eastAsia="Times New Roman"/>
                <w:b w:val="false"/>
                <w:sz w:val="26"/>
              </w:rPr>
              <w:t>Phí : 3.500.000 Đồng</w:t>
              <w:t xml:space="preserve"> (Phí thẩm định hồ sơ cho phép khảo nghiệm (nộp cùng hồ sơ đăng ký))</w:t>
            </w:r>
          </w:p>
        </w:tc>
        <w:tc>
          <w:p/>
          <w:p>
            <w:pPr>
              <w:spacing w:after="0" w:before="0" w:lineRule="auto" w:line="276"/>
              <w:jc w:val="left"/>
            </w:pPr>
            <w:r>
              <w:rPr>
                <w:rFonts w:ascii="Times New Roman" w:hAnsi="Times New Roman" w:cs="Times New Roman" w:eastAsia="Times New Roman"/>
                <w:b w:val="false"/>
                <w:sz w:val="26"/>
              </w:rPr>
              <w:t>60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2.500.000 Đồng</w:t>
              <w:t xml:space="preserve"> (Phí thẩm định hồ sơ đăng ký lưu hành bổ sung (nộp cùng với Phiếu trả lời kết quả khảo nghiệm))</w:t>
            </w:r>
          </w:p>
          <w:p>
            <w:pPr>
              <w:spacing w:after="0" w:before="0" w:lineRule="auto" w:line="276"/>
              <w:jc w:val="left"/>
            </w:pPr>
            <w:r>
              <w:rPr>
                <w:rFonts w:ascii="Times New Roman" w:hAnsi="Times New Roman" w:cs="Times New Roman" w:eastAsia="Times New Roman"/>
                <w:b w:val="false"/>
                <w:sz w:val="26"/>
              </w:rPr>
              <w:t>Phí : 3.500.000 Đồng</w:t>
              <w:t xml:space="preserve"> (Phí thẩm định hồ sơ cho phép khảo nghiệm (nộp cùng hồ sơ đăng ký))</w:t>
            </w:r>
          </w:p>
        </w:tc>
        <w:tc>
          <w:p/>
          <w:p>
            <w:pPr>
              <w:spacing w:after="0" w:before="0" w:lineRule="auto" w:line="276"/>
              <w:jc w:val="left"/>
            </w:pPr>
            <w:r>
              <w:rPr>
                <w:rFonts w:ascii="Times New Roman" w:hAnsi="Times New Roman" w:cs="Times New Roman" w:eastAsia="Times New Roman"/>
                <w:b w:val="false"/>
                <w:sz w:val="26"/>
              </w:rPr>
              <w:t>60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2.500.000 Đồng</w:t>
              <w:t xml:space="preserve"> (Phí thẩm định hồ sơ đăng ký lưu hành bổ sung (nộp cùng với Phiếu trả lời kết quả khảo nghiệm))</w:t>
            </w:r>
          </w:p>
          <w:p>
            <w:pPr>
              <w:spacing w:after="0" w:before="0" w:lineRule="auto" w:line="276"/>
              <w:jc w:val="left"/>
            </w:pPr>
            <w:r>
              <w:rPr>
                <w:rFonts w:ascii="Times New Roman" w:hAnsi="Times New Roman" w:cs="Times New Roman" w:eastAsia="Times New Roman"/>
                <w:b w:val="false"/>
                <w:sz w:val="26"/>
              </w:rPr>
              <w:t>Phí : 3.500.000 Đồng</w:t>
              <w:t xml:space="preserve"> (Phí thẩm định hồ sơ cho phép khảo nghiệm (nộp cùng hồ sơ đăng ký))</w:t>
            </w:r>
          </w:p>
        </w:tc>
        <w:tc>
          <w:p/>
          <w:p>
            <w:pPr>
              <w:spacing w:after="0" w:before="0" w:lineRule="auto" w:line="276"/>
              <w:jc w:val="left"/>
            </w:pPr>
            <w:r>
              <w:rPr>
                <w:rFonts w:ascii="Times New Roman" w:hAnsi="Times New Roman" w:cs="Times New Roman" w:eastAsia="Times New Roman"/>
                <w:b w:val="false"/>
                <w:sz w:val="26"/>
              </w:rPr>
              <w:t>60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đăng ký lưu hành bổ sung theo Mẫu số 05 tại Phụ lục I ban hành kèm theo Nghị định số 155/2018/NĐ-CP;</w:t>
            </w:r>
          </w:p>
        </w:tc>
        <w:tc>
          <w:p/>
          <w:p>
            <w:pPr>
              <w:spacing w:after="0" w:before="0" w:lineRule="auto" w:line="276"/>
              <w:jc w:val="left"/>
            </w:pPr>
            <w:r>
              <w:rPr>
                <w:rFonts w:ascii="Times New Roman" w:hAnsi="Times New Roman" w:cs="Times New Roman" w:eastAsia="Times New Roman"/>
                <w:b w:val="false"/>
                <w:sz w:val="26"/>
              </w:rPr>
              <w:t>Mau 05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Phiếu trả lời kết quả khảo nghiệm (trừ trường hợp thay đổi hạn sử dụng của chế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nghiên cứu độ ổn định (đối với trường hợp thay đổi hạn sử dụng của chế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Kết quả kiểm nghiệm thành phần và hàm lượng hoạt chất (đối với trường hợp thay đổi thành phần và hàm lượng hoạt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Mẫu nhãn mới của chế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hoặc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4- Nghị định 155/2018/NĐ-CP ngày 13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13-11-2018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2026-05-09T03:11:23Z</dcterms:created>
  <dc:creator>Apache POI</dc:creator>
</cp:coreProperties>
</file>