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biên phòng theo cách thức thủ công đối với tàu cá Việt Nam, thuyền viên, hành khách đi trên tàu cá Việt Nam xuất cảnh đi khai thác thủy sản ở vùng biển ngoài vùng biển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12 (mười hai) giờ, trước khi tàu dự kiến rời khỏi vùng biển Việt Nam, người làm thủ tục phải nộp và xuất trình cho Biên phòng cửa khẩu cảng các loại giấy tờ theo quy định đối với tàu cá Việt Nam xuất cảnh;</w:t>
      </w:r>
    </w:p>
    <w:p>
      <w:pPr>
        <w:spacing w:after="0" w:before="0" w:lineRule="auto" w:line="276"/>
        <w:jc w:val="both"/>
      </w:pPr>
      <w:r>
        <w:rPr>
          <w:rFonts w:ascii="Times New Roman" w:hAnsi="Times New Roman" w:cs="Times New Roman" w:eastAsia="Times New Roman"/>
          <w:b w:val="false"/>
          <w:sz w:val="26"/>
        </w:rPr>
        <w:t>-	Biên phòng cửa khẩu cảng kiểm tra tính hợp pháp, hợp lệ của các loại giấy tờ do người làm thủ tục nộp và xuất trình; hoàn thành thủ tục xuất cảnh cho tàu thuyền, thuyền viên, hành khách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loại giấy tờ do người làm thủ tục nộp và xuất trình.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làm thủ tục nộp và xuất trình các loại giấy tờ tại trụ sở Cảng vụ hàng hải, Cảng vụ đường thủy nội địa hoặc văn phòng đại diện Cảng vụ hàng hải, Cảng vụ đường thủy nội địa.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loại giấy tờ do người làm thủ tục nộp và xuất trình.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làm thủ tục nộp và xuất trình các loại giấy tờ tại trụ sở Cảng vụ hàng hải, Cảng vụ đường thủy nội địa hoặc văn phòng đại diện Cảng vụ hàng hải, Cảng vụ đường thủy nội địa.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chung;</w:t>
            </w:r>
          </w:p>
        </w:tc>
        <w:tc>
          <w:p/>
          <w:p>
            <w:pPr>
              <w:spacing w:after="0" w:before="0" w:lineRule="auto" w:line="276"/>
              <w:jc w:val="left"/>
            </w:pPr>
            <w:r>
              <w:rPr>
                <w:rFonts w:ascii="Times New Roman" w:hAnsi="Times New Roman" w:cs="Times New Roman" w:eastAsia="Times New Roman"/>
                <w:b w:val="false"/>
                <w:sz w:val="26"/>
              </w:rPr>
              <w:t>BẢN KHAI CHUNG.doc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thuyền viên;</w:t>
            </w:r>
          </w:p>
        </w:tc>
        <w:tc>
          <w:p/>
          <w:p>
            <w:pPr>
              <w:spacing w:after="0" w:before="0" w:lineRule="auto" w:line="276"/>
              <w:jc w:val="left"/>
            </w:pPr>
            <w:r>
              <w:rPr>
                <w:rFonts w:ascii="Times New Roman" w:hAnsi="Times New Roman" w:cs="Times New Roman" w:eastAsia="Times New Roman"/>
                <w:b w:val="false"/>
                <w:sz w:val="26"/>
              </w:rPr>
              <w:t>DANH SÁCH THUYỀN VIÊN.doc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hành khách (nếu có);</w:t>
            </w:r>
          </w:p>
        </w:tc>
        <w:tc>
          <w:p/>
          <w:p>
            <w:pPr>
              <w:spacing w:after="0" w:before="0" w:lineRule="auto" w:line="276"/>
              <w:jc w:val="left"/>
            </w:pPr>
            <w:r>
              <w:rPr>
                <w:rFonts w:ascii="Times New Roman" w:hAnsi="Times New Roman" w:cs="Times New Roman" w:eastAsia="Times New Roman"/>
                <w:b w:val="false"/>
                <w:sz w:val="26"/>
              </w:rPr>
              <w:t>Danh sách hành khách .doc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vũ khí và vật liệu nổ (nếu có).</w:t>
            </w:r>
          </w:p>
        </w:tc>
        <w:tc>
          <w:p/>
          <w:p>
            <w:pPr>
              <w:spacing w:after="0" w:before="0" w:lineRule="auto" w:line="276"/>
              <w:jc w:val="left"/>
            </w:pPr>
            <w:r>
              <w:rPr>
                <w:rFonts w:ascii="Times New Roman" w:hAnsi="Times New Roman" w:cs="Times New Roman" w:eastAsia="Times New Roman"/>
                <w:b w:val="false"/>
                <w:sz w:val="26"/>
              </w:rPr>
              <w:t>BẢN KHAI VŨ KHÍ VÀ VẬT LIỆU NỔ.doc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phép cho tàu cá đi khai thác thuỷ sản ở vùng biển ngoài vùng biển Việt Nam do Tổng cục Thủy sản Bộ Nông nghiệp và Phát triển nông thôn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phổ thông và sổ thuyền viên tàu cá của thuyền viên; hộ chiếu của hành khách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Cảng vụ hàng hải, Cảng vụ đường thủy nội địa hoặc văn phòng đại diện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Cơ quan kiểm dịch thực vật, Cơ quan kiểm dịch động vật cửa khẩu, Cảng vụ đường thủy nội địa, Trung tâm Kiểm dịch y tế Quốc tế, Hải quan cửa khẩu cảng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phòng cửa khẩu cảng thực hiện kiểm chứng xuất cảnh vào Bản khai chung, Danh sách thuyền viên, Danh sách hành khách (nếu có), hộ chiếu của thuyền viên, hộ chiếu của hành khách (nếu có) và trả lại cho người làm thủ tục 01 (một) Bản khai chung, 01 (một) Danh sách thuyền viên, 01 (một) Danh sách hành khách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33/2010/NĐ-CP</w:t>
            </w:r>
          </w:p>
        </w:tc>
        <w:tc>
          <w:p/>
          <w:p>
            <w:pPr>
              <w:spacing w:after="0" w:before="0" w:lineRule="auto" w:line="276"/>
              <w:jc w:val="left"/>
            </w:pPr>
            <w:r>
              <w:rPr>
                <w:rFonts w:ascii="Times New Roman" w:hAnsi="Times New Roman" w:cs="Times New Roman" w:eastAsia="Times New Roman"/>
                <w:b w:val="false"/>
                <w:sz w:val="26"/>
              </w:rPr>
              <w:t>Về quản lý hoạt động khai thác thủy sản của tổ chức, cá nhân việt nam trên các vùng biển</w:t>
            </w:r>
          </w:p>
        </w:tc>
        <w:tc>
          <w:p/>
          <w:p>
            <w:pPr>
              <w:spacing w:after="0" w:before="0" w:lineRule="auto" w:line="276"/>
              <w:jc w:val="left"/>
            </w:pPr>
            <w:r>
              <w:rPr>
                <w:rFonts w:ascii="Times New Roman" w:hAnsi="Times New Roman" w:cs="Times New Roman" w:eastAsia="Times New Roman"/>
                <w:b w:val="false"/>
                <w:sz w:val="26"/>
              </w:rPr>
              <w:t>31-03-2010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2026-05-23T17:23:15Z</dcterms:created>
  <dc:creator>Apache POI</dc:creator>
</cp:coreProperties>
</file>