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1.003691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175/QĐ-BYT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Khám GĐYK lần đầu đối với người hoạt động kháng chiến bị phơi nhiễm với chất độc hóa học quy định tại Điều 38 Nghị định số 31/2013/NĐ-CP ngày 09 tháng 4 năm 2013 của Chính phủ quy định chi tiết, hướng dẫn thi hành một số điều của Pháp lệnh ưu đãi người có công với cách mạng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gửi các giấy tờ liên quan đến phơi nhiễm chất độc hóa học đến Sở LĐTBXH để tổng hợp hồ sơ gửi về Hội đồng GĐYK cấp tỉnh.</w:t>
      </w:r>
    </w:p>
    <w:p>
      <w:pPr>
        <w:spacing w:after="0" w:before="0" w:lineRule="auto" w:line="276"/>
        <w:jc w:val="both"/>
      </w:pPr>
      <w:r>
        <w:rPr>
          <w:rFonts w:ascii="Times New Roman" w:hAnsi="Times New Roman" w:cs="Times New Roman" w:eastAsia="Times New Roman"/>
          <w:b w:val="false"/>
          <w:sz w:val="26"/>
        </w:rPr>
        <w:t>Bước 2. Hội đồng GĐYK cấp tỉnh tiếp nhận hồ sơ khám GĐYK, nếu hồ sơ khám GĐYK không đúng quy định tại Thông tư số 20/2016/TTLT-BYT-BLĐTBXH ngày 30/6/2016 thì trong vòng 10 ngày làm việc, kể từ khi tiếp nhận hồ sơ, Hội đồng GĐYK trả lại hồ sơ khám GĐYK cho Sở LĐTBXH tỉnh kèm theo văn bản nêu rõ lý do.</w:t>
      </w:r>
    </w:p>
    <w:p>
      <w:pPr>
        <w:spacing w:after="0" w:before="0" w:lineRule="auto" w:line="276"/>
        <w:jc w:val="both"/>
      </w:pPr>
      <w:r>
        <w:rPr>
          <w:rFonts w:ascii="Times New Roman" w:hAnsi="Times New Roman" w:cs="Times New Roman" w:eastAsia="Times New Roman"/>
          <w:b w:val="false"/>
          <w:sz w:val="26"/>
        </w:rPr>
        <w:t>Bước 3. Hội đồng GĐYK cấp tỉnh phải thực hiện khám giám định cho đối tượng trong thời gian không quá 45 ngày, kể từ ngày nhận đủ hồ sơ khám GĐYK; Người thực hiện khám GĐYK có trách nhiệm kiểm tra, đối chiếu người đến khám giám định với một trong các giấy tờ của người đó: Giấy chứng minh nhân dân hoặc Căn cước công dân hoặc Hộ chiếu hoặc xác nhận của Công an xã, phường, thị trấn nơi đăng ký hộ khẩu thường trú, có dán ảnh chân dung của đối tượng chụp trên nền trắng cỡ ảnh 4 cm x 6 cm cách ngày lập hồ sơ không quá 6 tháng, đóng dấu giáp lai của Công an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kế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45 ngày kế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Có một trong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tóm tắt bệnh án điều trị nội trú của bệnh viện công lập từ tuyến huyện trở lên theo mẫu quy định tại Phụ lục 4 ban hành kèm theo Thông tư số 20/2016/TTLT-BYT-BLĐTBXH ngày 30/6/2016</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tóm tắt quá trình điều trị ngoại trú của bệnh viện công lập từ tuyến huyện trở lên hoặc Bản tóm tắt quá trình điều trị ngoại trú của Phòng khám Ban Bảo vệ sức khỏe cán bộ tỉnh, thành phố trực thuộc Trung ương theo mẫu quy định tại Phụ lục 5 ban hành kèm theo Thông tư số 20/2016/TTLT-BYT-BLĐTBXH ngày 30/6/2016</w:t>
            </w:r>
          </w:p>
        </w:tc>
        <w:tc>
          <w:p/>
          <w:p>
            <w:pPr>
              <w:spacing w:after="0" w:before="0" w:lineRule="auto" w:line="276"/>
              <w:jc w:val="left"/>
            </w:pPr>
            <w:r>
              <w:rPr>
                <w:rFonts w:ascii="Times New Roman" w:hAnsi="Times New Roman" w:cs="Times New Roman" w:eastAsia="Times New Roman"/>
                <w:b w:val="false"/>
                <w:sz w:val="26"/>
              </w:rPr>
              <w:t>TT20_2016_TTBYT_Mau 02_Phu luc 4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Riêng đối với đối tượng mắc bệnh quy định tại Khoản 10 Điều 7 Thông tư số 20/2016/TTLT-BYT-BLĐTBXH ngày 30/6/2016 chỉ cần có giấy tờ có giá trị pháp lý được xác lập trước ngày 30 tháng 4 năm 1975 ghi nhận mắc bệnh thuộc nhóm bệnh thần kinh ngoại biên, được Sở LĐTBXH sao và xác nhận, không cần giấy tờ quy định tại điểm b Khoản 1 Điều 10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giới thiệu của Sở LĐTBXH theo mẫu quy định tại Phụ lục 3 ban hành kèm theo Thông tư số 20/2016/TTLT-BYT-BLĐTBXH ngày 30/6/2016, do Giám đốc hoặc Phó Giám đốc Sở LĐTBXH ký tên và đóng dấu</w:t>
            </w:r>
          </w:p>
        </w:tc>
        <w:tc>
          <w:p/>
          <w:p>
            <w:pPr>
              <w:spacing w:after="0" w:before="0" w:lineRule="auto" w:line="276"/>
              <w:jc w:val="left"/>
            </w:pPr>
            <w:r>
              <w:rPr>
                <w:rFonts w:ascii="Times New Roman" w:hAnsi="Times New Roman" w:cs="Times New Roman" w:eastAsia="Times New Roman"/>
                <w:b w:val="false"/>
                <w:sz w:val="26"/>
              </w:rPr>
              <w:t>TT20_2016_TTBYT_Mau 01_Phu luc 3 (1).doc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Hội đồng GĐYK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bản khám giám định y khoa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31/2013/NĐ-CP</w:t>
            </w:r>
          </w:p>
        </w:tc>
        <w:tc>
          <w:p/>
          <w:p>
            <w:pPr>
              <w:spacing w:after="0" w:before="0" w:lineRule="auto" w:line="276"/>
              <w:jc w:val="left"/>
            </w:pPr>
            <w:r>
              <w:rPr>
                <w:rFonts w:ascii="Times New Roman" w:hAnsi="Times New Roman" w:cs="Times New Roman" w:eastAsia="Times New Roman"/>
                <w:b w:val="false"/>
                <w:sz w:val="26"/>
              </w:rPr>
              <w:t>Nghị định 31/2013/NĐ-CP - Hướng dẫn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09-04-2013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26/2005/PL-UBTVQH11</w:t>
            </w:r>
          </w:p>
        </w:tc>
        <w:tc>
          <w:p/>
          <w:p>
            <w:pPr>
              <w:spacing w:after="0" w:before="0" w:lineRule="auto" w:line="276"/>
              <w:jc w:val="left"/>
            </w:pPr>
            <w:r>
              <w:rPr>
                <w:rFonts w:ascii="Times New Roman" w:hAnsi="Times New Roman" w:cs="Times New Roman" w:eastAsia="Times New Roman"/>
                <w:b w:val="false"/>
                <w:sz w:val="26"/>
              </w:rPr>
              <w:t>	 Pháp lệnh 26/2005/PL-UBTVQH11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tc>
      </w:tr>
      <w:tr>
        <w:tc>
          <w:p/>
          <w:p>
            <w:pPr>
              <w:spacing w:after="0" w:before="0" w:lineRule="auto" w:line="276"/>
              <w:jc w:val="left"/>
            </w:pPr>
            <w:r>
              <w:rPr>
                <w:rFonts w:ascii="Times New Roman" w:hAnsi="Times New Roman" w:cs="Times New Roman" w:eastAsia="Times New Roman"/>
                <w:b w:val="false"/>
                <w:sz w:val="26"/>
              </w:rPr>
              <w:t>20/2016/TTLT-BYT-BLĐTBXH</w:t>
            </w:r>
          </w:p>
        </w:tc>
        <w:tc>
          <w:p/>
          <w:p>
            <w:pPr>
              <w:spacing w:after="0" w:before="0" w:lineRule="auto" w:line="276"/>
              <w:jc w:val="left"/>
            </w:pPr>
            <w:r>
              <w:rPr>
                <w:rFonts w:ascii="Times New Roman" w:hAnsi="Times New Roman" w:cs="Times New Roman" w:eastAsia="Times New Roman"/>
                <w:b w:val="false"/>
                <w:sz w:val="26"/>
              </w:rPr>
              <w:t>Thông tư liên tịch 20/2016/TTLT-BYT-BLĐTBXH Hướng dẫn khám giám định bệnh, tật, di dạng, dị tật có liên quan đến phơi nhiễm với chất độc hóa học đối với người hoạt động kháng chến và con đẻ của họ</w:t>
            </w:r>
          </w:p>
        </w:tc>
        <w:tc>
          <w:p/>
          <w:p>
            <w:pPr>
              <w:spacing w:after="0" w:before="0" w:lineRule="auto" w:line="276"/>
              <w:jc w:val="left"/>
            </w:pPr>
            <w:r>
              <w:rPr>
                <w:rFonts w:ascii="Times New Roman" w:hAnsi="Times New Roman" w:cs="Times New Roman" w:eastAsia="Times New Roman"/>
                <w:b w:val="false"/>
                <w:sz w:val="26"/>
              </w:rPr>
              <w:t>30-06-2016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2026-05-05T23:25:05Z</dcterms:created>
  <dc:creator>Apache POI</dc:creator>
</cp:coreProperties>
</file>