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văn hóa, lễ hội ngành nghề cấp quốc gia hoặc khu vực, lễ hội có nguồn gốc từ nước ngoài được tổ chức hàng năm gửi văn bản thông báo đến Bộ Văn hóa, Thể thao và Du lịch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Bộ Văn hóa, Thể thao và Du lịch nhận được văn bản thông báo, nếu không có ý kiến trả lời thì đơn vị gửi thông báo được tổ chức lễ hội theo nội dung đã thông báo. Trường hợp không đồng ý với nội dung thông báo, cơ quan tiếp nhận phải trả lời văn bản và nêu rõ lý do;</w:t>
      </w:r>
    </w:p>
    <w:p>
      <w:pPr>
        <w:spacing w:after="0" w:before="0" w:lineRule="auto" w:line="276"/>
        <w:jc w:val="both"/>
      </w:pPr>
      <w:r>
        <w:rPr>
          <w:rFonts w:ascii="Times New Roman" w:hAnsi="Times New Roman" w:cs="Times New Roman" w:eastAsia="Times New Roman"/>
          <w:b w:val="false"/>
          <w:sz w:val="26"/>
        </w:rPr>
        <w:t xml:space="preserve"> Sau khi nhận được văn bản không đồng ý của Bộ Văn hóa, Thể thao và Du lịch, đơn vị tổ chức lễ hội phải tiến hành chỉnh sửa, bổ sung hoàn thiện nội dung của hoạt động lễ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Bộ Văn hóa, Thể thao và Du lịch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Bộ Văn hóa, Thể thao và Du lịch nhận được văn bản thông báo, nếu không có ý kiến trả lời thì đơn vị gửi thông báo được tổ chức lễ hội theo nội dung đã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Bộ Văn hóa, Thể thao và Du lịch nhận được văn bản thông báo, nếu không có ý kiến trả lời thì đơn vị gửi thông báo được tổ chức lễ hội theo nội dung đã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Nội dung văn bản nêu rõ: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2026-05-09T03:14:21Z</dcterms:created>
  <dc:creator>Apache POI</dc:creator>
</cp:coreProperties>
</file>