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1.003695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2299/QĐ-BNNMT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nhận làng nghề</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Kinh tế hợp tác và Phát triển nông thôn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Uỷ ban nhân dân cấp xã lập hồ sơ đề nghị công nhận làng nghề theo tiêu chí quy định tại khoản 3 Điều 5 Nghị định số 52/2018/NĐ-CP ngày 12 tháng 4 năm 2018 của Chính phủ về phát triển ngành nghề nông thôn trình UBND cấp tỉnh xét công nhận.</w:t>
      </w:r>
    </w:p>
    <w:p>
      <w:pPr>
        <w:spacing w:after="0" w:before="0" w:lineRule="auto" w:line="276"/>
        <w:jc w:val="both"/>
      </w:pPr>
      <w:r>
        <w:rPr>
          <w:rFonts w:ascii="Times New Roman" w:hAnsi="Times New Roman" w:cs="Times New Roman" w:eastAsia="Times New Roman"/>
          <w:b w:val="false"/>
          <w:sz w:val="26"/>
        </w:rPr>
        <w:t>Trong thời hạn 30 ngày làm việc, kể từ ngày nhận được hồ sơ hợp lệ, UBND cấp tỉnh thành lập Hội đồng xét duyệt, chọn những đối tượng đủ tiêu chuẩn theo quy định tại khoản 3 Điều 5 Nghị định số 52/2018/NĐ-CP ngày 12 tháng 4 năm 2018, ra quyết định và cấp bằng công nhận làng nghề.</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Danh sách các hộ tham gia hoạt động ngành nghề nông thôn.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tóm tắt kết quả hoạt động sản xuất, kinh doanh của các tổ chức, cá nhân tham gia hoạt động ngành nghề nông thôn trong 02 năm gần nhất.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bảo đảm điều kiện về bảo vệ môi trường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Bằng công nhận, Quyết định hành chính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52/2018/NĐ-CP</w:t>
            </w:r>
          </w:p>
        </w:tc>
        <w:tc>
          <w:p/>
          <w:p>
            <w:pPr>
              <w:spacing w:after="0" w:before="0" w:lineRule="auto" w:line="276"/>
              <w:jc w:val="left"/>
            </w:pPr>
            <w:r>
              <w:rPr>
                <w:rFonts w:ascii="Times New Roman" w:hAnsi="Times New Roman" w:cs="Times New Roman" w:eastAsia="Times New Roman"/>
                <w:b w:val="false"/>
                <w:sz w:val="26"/>
              </w:rPr>
              <w:t>Nghị định của Chính phủ về phát triển ngành nghề nông thôn</w:t>
            </w:r>
          </w:p>
        </w:tc>
        <w:tc>
          <w:p/>
          <w:p>
            <w:pPr>
              <w:spacing w:after="0" w:before="0" w:lineRule="auto" w:line="276"/>
              <w:jc w:val="left"/>
            </w:pPr>
            <w:r>
              <w:rPr>
                <w:rFonts w:ascii="Times New Roman" w:hAnsi="Times New Roman" w:cs="Times New Roman" w:eastAsia="Times New Roman"/>
                <w:b w:val="false"/>
                <w:sz w:val="26"/>
              </w:rPr>
              <w:t>12-04-2019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131/2025/NĐ-CP</w:t>
            </w:r>
          </w:p>
        </w:tc>
        <w:tc>
          <w:p/>
          <w:p>
            <w:pPr>
              <w:spacing w:after="0" w:before="0" w:lineRule="auto" w:line="276"/>
              <w:jc w:val="left"/>
            </w:pPr>
            <w:r>
              <w:rPr>
                <w:rFonts w:ascii="Times New Roman" w:hAnsi="Times New Roman" w:cs="Times New Roman" w:eastAsia="Times New Roman"/>
                <w:b w:val="false"/>
                <w:sz w:val="26"/>
              </w:rPr>
              <w:t>Quy định phân định thẩm quyền của chính quyền địa phương 02 cấp trong lĩnh vực quản lý nhà nước của Bộ Nông nghiệp và Môi trường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Có tối thiểu 20% tổng số hộ trên địa bàn tham gia một trong các hoạt động hoặc các hoạt động ngành nghề nông thôn quy định tại Điều 4 Nghị định 52/2018/NĐ-CP;
- Hoạt động sản xuất kinh doanh ổn định tối thiểu 02 năm liên tục tính đến thời điểm đề nghị công nhận;
- Đáp ứng các điều kiện bảo vệ môi trường làng nghề theo quy định của pháp luật hiện hành.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2026-05-13T13:40:58Z</dcterms:created>
  <dc:creator>Apache POI</dc:creator>
</cp:coreProperties>
</file>