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giấy phép kinh doanh dịch vụ lữ hành nội địa trong trường hợp doanh nghiệp phá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đề nghị chấm dứt hoạt động kinh doanh dịch vụ lữ hành đến Sở Du lịch/Sở Văn hóa, Thể thao và Du lịch</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hợp lệ, Sở Du lịch/Sở Văn hóa, Thể thao và Du lịch ra quyết định thu hồi giấy phép kinh doanh dịch vụ lữ hành nội địa. Quyết định thu hồi giấy phép được gửi đến doanh nghiệp, cơ quan nhà nước về xuất nhập cảnh, cơ quan thuế, cơ quan đăng ký kinh doanh cấp tỉnh nơi doanh nghiệp đặt trụ sở chính, công bố trên cổng thông tin điện tử của Sở Du lịch/Sở Văn hóa, Thể thao và Du lịch và trang mạng quản lý doanh nghiệp kinh doanh dịch vụ lữ hành</w:t>
      </w:r>
    </w:p>
    <w:p>
      <w:pPr>
        <w:spacing w:after="0" w:before="0" w:lineRule="auto" w:line="276"/>
        <w:jc w:val="both"/>
      </w:pPr>
      <w:r>
        <w:rPr>
          <w:rFonts w:ascii="Times New Roman" w:hAnsi="Times New Roman" w:cs="Times New Roman" w:eastAsia="Times New Roman"/>
          <w:b w:val="false"/>
          <w:sz w:val="26"/>
        </w:rPr>
        <w:t>- Tiền ký quỹ do tòa án quyết định theo quy định của pháp luật về phá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của Tòa án về việc mở thủ tục phá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kinh doanh dịch vụ lữ hành nội địa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kinh doanh dịch vụ lữ hành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09/2017/QH1409/2017/QH14 </w:t>
            </w:r>
          </w:p>
        </w:tc>
        <w:tc>
          <w:p/>
          <w:p>
            <w:pPr>
              <w:spacing w:after="0" w:before="0" w:lineRule="auto" w:line="276"/>
              <w:jc w:val="left"/>
            </w:pPr>
            <w:r>
              <w:rPr>
                <w:rFonts w:ascii="Times New Roman" w:hAnsi="Times New Roman" w:cs="Times New Roman" w:eastAsia="Times New Roman"/>
                <w:b w:val="false"/>
                <w:sz w:val="26"/>
              </w:rPr>
              <w:t>Du lịch</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2026-05-19T14:29:28Z</dcterms:created>
  <dc:creator>Apache POI</dc:creator>
</cp:coreProperties>
</file>