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tàu bay mang quốc tịch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thủ tục hành chính</w:t>
      </w:r>
    </w:p>
    <w:p>
      <w:pPr>
        <w:spacing w:after="0" w:before="0" w:lineRule="auto" w:line="276"/>
        <w:jc w:val="both"/>
      </w:pPr>
      <w:r>
        <w:rPr>
          <w:rFonts w:ascii="Times New Roman" w:hAnsi="Times New Roman" w:cs="Times New Roman" w:eastAsia="Times New Roman"/>
          <w:b w:val="false"/>
          <w:sz w:val="26"/>
        </w:rPr>
        <w:t>- Người đề nghị đăng ký tàu bay mang quốc tịch Việt Nam gửi hồ sơ trực tiếp, qua hệ thống bưu chính hoặc trên môi trường điện tử hoặc bằng các hình thức khác đến Cục Hàng không Việt Namvà phải chịu trách nhiệm về tính chính xác, trung thực của các thông tin ghi trong hồ sơ.</w:t>
      </w:r>
    </w:p>
    <w:p>
      <w:pPr>
        <w:shd w:val="clear" w:color="auto" w:fill="F2F6F9"/>
        <w:spacing w:after="0" w:before="120" w:lineRule="auto" w:line="276"/>
        <w:jc w:val="both"/>
      </w:pPr>
      <w:r>
        <w:rPr>
          <w:rFonts w:ascii="Times New Roman" w:hAnsi="Times New Roman" w:cs="Times New Roman" w:eastAsia="Times New Roman"/>
          <w:b w:val="true"/>
          <w:sz w:val="26"/>
        </w:rPr>
        <w:t>Giải quyết thủ tục hành chính</w:t>
      </w:r>
    </w:p>
    <w:p>
      <w:pPr>
        <w:spacing w:after="0" w:before="0" w:lineRule="auto" w:line="276"/>
        <w:jc w:val="both"/>
      </w:pPr>
      <w:r>
        <w:rPr>
          <w:rFonts w:ascii="Times New Roman" w:hAnsi="Times New Roman" w:cs="Times New Roman" w:eastAsia="Times New Roman"/>
          <w:b w:val="false"/>
          <w:sz w:val="26"/>
        </w:rPr>
        <w:t>Trong thời hạn năm (05) ngày làm việc, kể từ ngày nhận đủ hồ sơ theo quy định, Cục Hàng không Việt Namthực hiện việc cấp Giấy chứng nhận đăng ký tàu bay mang quốc tịch Việt Nam theo Mẫu số 04 quy định tại Phụ lục ban hành kèm theo Nghị định số 68/2015/NĐ-CP ngày 18/08/2015; trường hợp không cấp, Cục Hàng không Việt Namphải trả lời người đề nghị bằng văn bản và nêu rõ lý do.</w:t>
      </w:r>
    </w:p>
    <w:p>
      <w:pPr>
        <w:spacing w:after="0" w:before="0" w:lineRule="auto" w:line="276"/>
        <w:jc w:val="both"/>
      </w:pPr>
      <w:r>
        <w:rPr>
          <w:rFonts w:ascii="Times New Roman" w:hAnsi="Times New Roman" w:cs="Times New Roman" w:eastAsia="Times New Roman"/>
          <w:b w:val="false"/>
          <w:sz w:val="26"/>
        </w:rPr>
        <w:t>Trường hợp hồ sơ chưa đầy đủ theo quy định, trong thời hạn hai (02) ngày làm việc, kể từ ngày nhận hồ sơ, Cục Hàng không Việt Namcó văn bản hướng dẫn người đề nghị đăng ký hoàn chỉnh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(Giấy chứng nhận đối với loại tàu bay dưới 5.700 kg)</w:t>
            </w:r>
          </w:p>
          <w:p>
            <w:pPr>
              <w:spacing w:after="0" w:before="0" w:lineRule="auto" w:line="276"/>
              <w:jc w:val="left"/>
            </w:pPr>
            <w:r>
              <w:rPr>
                <w:rFonts w:ascii="Times New Roman" w:hAnsi="Times New Roman" w:cs="Times New Roman" w:eastAsia="Times New Roman"/>
                <w:b w:val="false"/>
                <w:sz w:val="26"/>
              </w:rPr>
              <w:t>Lệ phí : 4500000 Đồng</w:t>
              <w:t xml:space="preserve"> (Giấy chứng nhận đối với loại tàu bay từ 5.700 kg trở lên)</w:t>
            </w:r>
          </w:p>
        </w:tc>
        <w:tc>
          <w:p/>
          <w:p>
            <w:pPr>
              <w:spacing w:after="0" w:before="0" w:lineRule="auto" w:line="276"/>
              <w:jc w:val="left"/>
            </w:pPr>
            <w:r>
              <w:rPr>
                <w:rFonts w:ascii="Times New Roman" w:hAnsi="Times New Roman" w:cs="Times New Roman" w:eastAsia="Times New Roman"/>
                <w:b w:val="false"/>
                <w:sz w:val="26"/>
              </w:rPr>
              <w:t>- Nộp hồ sơ trực tiếp; hoặc
- Nộp hồ sơ trực tiếp; hoặc
- Qua hệ thống bưu chính; 
- Trên môi trường điện tử; hoặc
- Các hình thức phù hợp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(Giấy chứng nhận đối với loại tàu bay từ 5.700 kg trở lên)</w:t>
            </w:r>
          </w:p>
          <w:p>
            <w:pPr>
              <w:spacing w:after="0" w:before="0" w:lineRule="auto" w:line="276"/>
              <w:jc w:val="left"/>
            </w:pPr>
            <w:r>
              <w:rPr>
                <w:rFonts w:ascii="Times New Roman" w:hAnsi="Times New Roman" w:cs="Times New Roman" w:eastAsia="Times New Roman"/>
                <w:b w:val="false"/>
                <w:sz w:val="26"/>
              </w:rPr>
              <w:t>Phí : 1500000 Đồng</w:t>
              <w:t xml:space="preserve"> (Giấy chứng nhận đối với loại tàu bay dưới 5.700 kg)</w:t>
            </w:r>
          </w:p>
        </w:tc>
        <w:tc>
          <w:p/>
          <w:p>
            <w:pPr>
              <w:spacing w:after="0" w:before="0" w:lineRule="auto" w:line="276"/>
              <w:jc w:val="left"/>
            </w:pPr>
            <w:r>
              <w:rPr>
                <w:rFonts w:ascii="Times New Roman" w:hAnsi="Times New Roman" w:cs="Times New Roman" w:eastAsia="Times New Roman"/>
                <w:b w:val="false"/>
                <w:sz w:val="26"/>
              </w:rPr>
              <w:t>- Nộp hồ sơ trực tiếp; hoặc
- Qua hệ thống bưu chính; 
- Trên môi trường điện tử; hoặc
- Các hình thức phù hợp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(Giấy chứng nhận đối với loại tàu bay dưới 5.700 kg)</w:t>
            </w:r>
          </w:p>
          <w:p>
            <w:pPr>
              <w:spacing w:after="0" w:before="0" w:lineRule="auto" w:line="276"/>
              <w:jc w:val="left"/>
            </w:pPr>
            <w:r>
              <w:rPr>
                <w:rFonts w:ascii="Times New Roman" w:hAnsi="Times New Roman" w:cs="Times New Roman" w:eastAsia="Times New Roman"/>
                <w:b w:val="false"/>
                <w:sz w:val="26"/>
              </w:rPr>
              <w:t>Lệ phí : 4500000 Đồng</w:t>
              <w:t xml:space="preserve"> (Giấy chứng nhận đối với loại tàu bay từ 5.700 kg trở lên)</w:t>
            </w:r>
          </w:p>
        </w:tc>
        <w:tc>
          <w:p/>
          <w:p>
            <w:pPr>
              <w:spacing w:after="0" w:before="0" w:lineRule="auto" w:line="276"/>
              <w:jc w:val="left"/>
            </w:pPr>
            <w:r>
              <w:rPr>
                <w:rFonts w:ascii="Times New Roman" w:hAnsi="Times New Roman" w:cs="Times New Roman" w:eastAsia="Times New Roman"/>
                <w:b w:val="false"/>
                <w:sz w:val="26"/>
              </w:rPr>
              <w:t>- Nộp hồ sơ trực tiếp; hoặc
- Qua hệ thống bưu chính; 
- Trên môi trường điện tử; hoặc
- Các hình thức phù hợp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w:t>
            </w:r>
          </w:p>
        </w:tc>
        <w:tc>
          <w:p/>
          <w:p>
            <w:pPr>
              <w:spacing w:after="0" w:before="0" w:lineRule="auto" w:line="276"/>
              <w:jc w:val="left"/>
            </w:pPr>
            <w:r>
              <w:rPr>
                <w:rFonts w:ascii="Times New Roman" w:hAnsi="Times New Roman" w:cs="Times New Roman" w:eastAsia="Times New Roman"/>
                <w:b w:val="false"/>
                <w:sz w:val="26"/>
              </w:rPr>
              <w:t>Mau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có chứng thực hoặc bản sao chụp từ bản chính hoặc bản sao xuất trình bản chính để đối chiếu hoặc bản sao điện tử từ sổ gốc hoặc bản sao điện tử có chứng thực từ bản chính giấy tờ, tài liệu chứng minh tư cách pháp lý của người đề nghị đăng ký trong trường hợp người đề nghị là tổ chức, cá nhân Việt Nam. 	Trường hợp giấy tờ, tài liệu chứng minh tư cách pháp lý của người đề nghị đăng ký do cơ quan nước ngoài có thẩm quyền cấp thì các giấy tờ, tài liệu này phải được hợp pháp hóa lãnh sự theo quy định của pháp luật, trừ trường hợp được miễn hợp pháp hóa lãnh sự theo Điều ước quốc tế mà Cộng hòa xã hội chủ nghĩa Việt Nam là thành viên hoặc theo nguyên tắc có đi có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giấy tờ hợp pháp chứng minh về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giấy chứng nhận chưa có đăng ký do quốc gia nhà chế tạo cấp hoặc giấy chứng nhận đã xóa đăng ký do quốc gia đã đăng ký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tài liệu về tình trạng kỹ thuật của tàu bay, bao gồm: Giấy chứng nhận đủ điều kiện bay xuất khẩu còn hiệu lực đối với tàu bay được sản xuất tại nước ngoài; văn bản xác nhận của nhà chế tạo về tuân thủ các điều kiện thiết kế, chế tạo còn hiệu lực đối với tàu bay mới xuất xưởng; lý lịch ghi chép đầy đủ tình trạng thực hiện các chỉ lệnh hoặc thông báo kỹ thuật đã được thực hiện trên tàu bay; lý lịch ghi chép đầy đủ tình trạng kỹ thuật của tàu bay, động cơ và các thiết bị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hợp đồng mua tàu bay hoặc hợp đồng thuê tàu bay hoặc thuê - mua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đăng ký tàu bay mang quốc tịch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68/2015/NĐ-CP</w:t>
            </w:r>
          </w:p>
        </w:tc>
        <w:tc>
          <w:p/>
          <w:p>
            <w:pPr>
              <w:spacing w:after="0" w:before="0" w:lineRule="auto" w:line="276"/>
              <w:jc w:val="left"/>
            </w:pPr>
            <w:r>
              <w:rPr>
                <w:rFonts w:ascii="Times New Roman" w:hAnsi="Times New Roman" w:cs="Times New Roman" w:eastAsia="Times New Roman"/>
                <w:b w:val="false"/>
                <w:sz w:val="26"/>
              </w:rPr>
              <w:t>Quy định đăng ký quốc tịch và đăng ký các quyền đối với tàu bay</w:t>
            </w:r>
          </w:p>
        </w:tc>
        <w:tc>
          <w:p/>
          <w:p>
            <w:pPr>
              <w:spacing w:after="0" w:before="0" w:lineRule="auto" w:line="276"/>
              <w:jc w:val="left"/>
            </w:pPr>
            <w:r>
              <w:rPr>
                <w:rFonts w:ascii="Times New Roman" w:hAnsi="Times New Roman" w:cs="Times New Roman" w:eastAsia="Times New Roman"/>
                <w:b w:val="false"/>
                <w:sz w:val="26"/>
              </w:rPr>
              <w:t>18-08-2015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64/2022/NĐ-CP</w:t>
            </w:r>
          </w:p>
        </w:tc>
        <w:tc>
          <w:p/>
          <w:p>
            <w:pPr>
              <w:spacing w:after="0" w:before="0" w:lineRule="auto" w:line="276"/>
              <w:jc w:val="left"/>
            </w:pPr>
            <w:r>
              <w:rPr>
                <w:rFonts w:ascii="Times New Roman" w:hAnsi="Times New Roman" w:cs="Times New Roman" w:eastAsia="Times New Roman"/>
                <w:b w:val="false"/>
                <w:sz w:val="26"/>
              </w:rPr>
              <w:t>Nghị định 64/2022/NĐ-CP</w:t>
            </w:r>
          </w:p>
        </w:tc>
        <w:tc>
          <w:p/>
          <w:p>
            <w:pPr>
              <w:spacing w:after="0" w:before="0" w:lineRule="auto" w:line="276"/>
              <w:jc w:val="left"/>
            </w:pPr>
            <w:r>
              <w:rPr>
                <w:rFonts w:ascii="Times New Roman" w:hAnsi="Times New Roman" w:cs="Times New Roman" w:eastAsia="Times New Roman"/>
                <w:b w:val="false"/>
                <w:sz w:val="26"/>
              </w:rPr>
              <w:t>15-09-2022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về đăng ký quốc tịch tàu bay
a) Tàu bay thuộc sở hữu của tổ chức, cá nhân Việt Nam và do tổ chức, cá nhân Việt Nam khai thác (trường hợp tàu bay do cá nhân khai thác thì cá nhân phải thường trú tại Việt Nam); tàu bay được thuê mua hoặc thuê theo hình thức thuê không có tổ bay với thời hạn thuê từ 24 tháng trở lên để khai thác tại Việt Nam phải đăng ký mang quốc tịch Việt Nam theo quy định tại Nghị định này.
b) Trong thời hạn sáu (06) tháng kể từ ngày nhập khẩu vào Việt Nam, tàu bay phải được đăng ký mang quốc tịch Việt Nam.
2. Điều kiện tàu bay được đăng ký mang quốc tịch Việt Nam
a) Chưa có quốc tịch của bất kỳ quốc gia nào hoặc đã xóa đăng ký quốc tịch nước ngoài;
b) Có giấy tờ hợp pháp chứng minh về quyền sở hữu tàu bay; quyền chiếm hữu tàu bay đối với trường hợp thuê - mua hoặc thuê tàu bay;
c) Đối với tàu bay đã qua sử dụng, khi đăng ký quốc tịch lần đầu phải đáp ứng yêu cầu về tuổi như quy định áp dụng cho tàu bay đã qua sử dụng tại thời điểm nhập khẩu vào Việt Nam theo quy định của pháp luật.
d) Đáp ứng các điều kiện, yêu cầu về đảm bảo quốc phòng, an ninh; an toàn hàng không, an ninh hàng không và bảo vệ môi trường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2026-04-29T18:19:43Z</dcterms:created>
  <dc:creator>Apache POI</dc:creator>
</cp:coreProperties>
</file>