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1.003749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2093/QĐ-BYT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lưu hành bổ sung do thay đổi địa điểm cơ sở sản xuất, thay đổi cơ sở sản xuất chế phẩm diệt côn trùng, diệt khuẩn dùng trong lĩnh vực gia dụng và y tế</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Phòng bệnh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Cơ sở đăng ký lưu hành bổ sung nộp hồ sơ đến Bộ phận Tiếp nhận và Trả kết quả Bộ Y tế.
Bước 2: Sau khi nhận được hồ sơ đăng ký lưu hành bổ sung đầy đủ và phí thẩm định hồ sơ cho phép khảo nghiệm, Cục Quản lý Môi trường y tế, Bộ Y tế gửi cho cơ sở đăng ký Phiếu tiếp nhận hồ sơ theo Mẫu số 05 tại Phụ lục III ban hành kèm theo Nghị định số 91/2016/NĐ-CP.
Bước 3: Trong thời hạn 30 ngày, kể từ ngày ghi trên Phiếu tiếp nhận hồ sơ, Cục Quản lý Môi trường y tế, Bộ Y tế thông báo bằng văn bản cho cơ sở đăng ký về việc bổ sung, sửa đổi hồ sơ hoặc cho phép khảo nghiệm hoặc không cho phép khảo nghiệm và nêu rõ lý do.
Bước 4: Trường hợp Cục Quản lý Môi trường y tế, Bộ Y tế có văn bản yêu cầu sửa đổi, bổ sung hồ sơ, trong thời hạn 90 ngày kể từ ngày ghi trên văn bản, cơ sở đăng ký lưu hành bổ sung phải hoàn chỉnh hồ sơ, giải trình bằng văn bản và gửi đến Bộ Y tế. Ngày tiếp nhận hồ sơ bổ sung, sửa đổi được ghi trên Phiếu tiếp nhận hồ sơ. Quá thời hạn trên, hồ sơ đăng ký lưu hành bổ sung sẽ bị hủy bỏ.
Trường hợp cơ sở đăng ký không nộp hồ sơ đúng thời hạn theo quy định vì lý do bất khả kháng như: thiên tai, thảm họa, dịch bệnh, hỏa hoạn,… thì được nộp hồ sơ muộn không quá 12 tháng kể từ ngày hết hạn bổ sung hồ sơ kèm theo văn bản giải trình.
Trường hợp Cục Quản lý Môi trường y tế, Bộ Y tế có văn bản cho phép khảo nghiệm, trong thời gian tối đa 12 tháng kể từ ngày ghi trên công văn cho phép khảo nghiệm, cơ sở đăng ký lưu hành bổ sung phải nộp kết quả khảo nghiệm để bổ sung vào hồ sơ. 
Bước 5: Trong thời hạn 30 ngày, kể từ ngày nhận được Phiếu trả lời kết quả khảo nghiệm và phí thẩm định hồ sơ đăng ký lưu hành bổ sung, Cục Quản lý Môi trường y tế phải có văn bản thông báo yêu cầu sửa đổi, bổ sung hồ sơ; cho phép hoặc không cho phép bổ sung Giấy chứng nhận đăng ký lưu hành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60 Ngày</w:t>
            </w:r>
          </w:p>
        </w:tc>
        <w:tc>
          <w:p/>
          <w:p>
            <w:pPr>
              <w:spacing w:after="0" w:before="0" w:lineRule="auto" w:line="276"/>
              <w:jc w:val="left"/>
            </w:pPr>
            <w:r>
              <w:rPr>
                <w:rFonts w:ascii="Times New Roman" w:hAnsi="Times New Roman" w:cs="Times New Roman" w:eastAsia="Times New Roman"/>
                <w:b w:val="false"/>
                <w:sz w:val="26"/>
              </w:rPr>
              <w:t>Phí : 3.500.000 Đồng</w:t>
              <w:t xml:space="preserve"> (Phí thẩm định hồ sơ cho phép khảo nghiệm (nộp cùng hồ sơ đăng ký))</w:t>
            </w:r>
          </w:p>
          <w:p>
            <w:pPr>
              <w:spacing w:after="0" w:before="0" w:lineRule="auto" w:line="276"/>
              <w:jc w:val="left"/>
            </w:pPr>
            <w:r>
              <w:rPr>
                <w:rFonts w:ascii="Times New Roman" w:hAnsi="Times New Roman" w:cs="Times New Roman" w:eastAsia="Times New Roman"/>
                <w:b w:val="false"/>
                <w:sz w:val="26"/>
              </w:rPr>
              <w:t>Phí : 2.500.000 Đồng</w:t>
              <w:t xml:space="preserve"> (Phí thẩm định hồ sơ đăng ký lưu hành bổ sung (nộp cùng với Phiếu trả lời kết quả khảo nghiệm))</w:t>
            </w:r>
          </w:p>
        </w:tc>
        <w:tc>
          <w:p/>
          <w:p>
            <w:pPr>
              <w:spacing w:after="0" w:before="0" w:lineRule="auto" w:line="276"/>
              <w:jc w:val="left"/>
            </w:pPr>
            <w:r>
              <w:rPr>
                <w:rFonts w:ascii="Times New Roman" w:hAnsi="Times New Roman" w:cs="Times New Roman" w:eastAsia="Times New Roman"/>
                <w:b w:val="false"/>
                <w:sz w:val="26"/>
              </w:rPr>
              <w:t>60 ngày kể từ ngày nhận được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60 Ngày</w:t>
            </w:r>
          </w:p>
        </w:tc>
        <w:tc>
          <w:p/>
          <w:p>
            <w:pPr>
              <w:spacing w:after="0" w:before="0" w:lineRule="auto" w:line="276"/>
              <w:jc w:val="left"/>
            </w:pPr>
            <w:r>
              <w:rPr>
                <w:rFonts w:ascii="Times New Roman" w:hAnsi="Times New Roman" w:cs="Times New Roman" w:eastAsia="Times New Roman"/>
                <w:b w:val="false"/>
                <w:sz w:val="26"/>
              </w:rPr>
              <w:t>Phí : 2.500.000 Đồng</w:t>
              <w:t xml:space="preserve"> (Phí thẩm định hồ sơ đăng ký lưu hành bổ sung (nộp cùng với Phiếu trả lời kết quả khảo nghiệm))</w:t>
            </w:r>
          </w:p>
          <w:p>
            <w:pPr>
              <w:spacing w:after="0" w:before="0" w:lineRule="auto" w:line="276"/>
              <w:jc w:val="left"/>
            </w:pPr>
            <w:r>
              <w:rPr>
                <w:rFonts w:ascii="Times New Roman" w:hAnsi="Times New Roman" w:cs="Times New Roman" w:eastAsia="Times New Roman"/>
                <w:b w:val="false"/>
                <w:sz w:val="26"/>
              </w:rPr>
              <w:t>Phí : 3.500.000 Đồng</w:t>
              <w:t xml:space="preserve"> (Phí thẩm định hồ sơ cho phép khảo nghiệm (nộp cùng hồ sơ đăng ký))</w:t>
            </w:r>
          </w:p>
        </w:tc>
        <w:tc>
          <w:p/>
          <w:p>
            <w:pPr>
              <w:spacing w:after="0" w:before="0" w:lineRule="auto" w:line="276"/>
              <w:jc w:val="left"/>
            </w:pPr>
            <w:r>
              <w:rPr>
                <w:rFonts w:ascii="Times New Roman" w:hAnsi="Times New Roman" w:cs="Times New Roman" w:eastAsia="Times New Roman"/>
                <w:b w:val="false"/>
                <w:sz w:val="26"/>
              </w:rPr>
              <w:t>60 ngày kể từ ngày nhận được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60 Ngày</w:t>
            </w:r>
          </w:p>
        </w:tc>
        <w:tc>
          <w:p/>
          <w:p>
            <w:pPr>
              <w:spacing w:after="0" w:before="0" w:lineRule="auto" w:line="276"/>
              <w:jc w:val="left"/>
            </w:pPr>
            <w:r>
              <w:rPr>
                <w:rFonts w:ascii="Times New Roman" w:hAnsi="Times New Roman" w:cs="Times New Roman" w:eastAsia="Times New Roman"/>
                <w:b w:val="false"/>
                <w:sz w:val="26"/>
              </w:rPr>
              <w:t>Phí : 2.500.000 Đồng</w:t>
              <w:t xml:space="preserve"> (Phí thẩm định hồ sơ đăng ký lưu hành bổ sung (nộp cùng với Phiếu trả lời kết quả khảo nghiệm))</w:t>
            </w:r>
          </w:p>
          <w:p>
            <w:pPr>
              <w:spacing w:after="0" w:before="0" w:lineRule="auto" w:line="276"/>
              <w:jc w:val="left"/>
            </w:pPr>
            <w:r>
              <w:rPr>
                <w:rFonts w:ascii="Times New Roman" w:hAnsi="Times New Roman" w:cs="Times New Roman" w:eastAsia="Times New Roman"/>
                <w:b w:val="false"/>
                <w:sz w:val="26"/>
              </w:rPr>
              <w:t>Phí : 3.500.000 Đồng</w:t>
              <w:t xml:space="preserve"> (Phí thẩm định hồ sơ cho phép khảo nghiệm (nộp cùng hồ sơ đăng ký))</w:t>
            </w:r>
          </w:p>
        </w:tc>
        <w:tc>
          <w:p/>
          <w:p>
            <w:pPr>
              <w:spacing w:after="0" w:before="0" w:lineRule="auto" w:line="276"/>
              <w:jc w:val="left"/>
            </w:pPr>
            <w:r>
              <w:rPr>
                <w:rFonts w:ascii="Times New Roman" w:hAnsi="Times New Roman" w:cs="Times New Roman" w:eastAsia="Times New Roman"/>
                <w:b w:val="false"/>
                <w:sz w:val="26"/>
              </w:rPr>
              <w:t>60 ngày kể từ ngày nhận được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Văn bản đề nghị đăng ký lưu hành bổ sung theo Mẫu số 05 tại Phụ lục I ban hành kèm theo Nghị định số 91/2016/NĐ-CP;</w:t>
            </w:r>
          </w:p>
        </w:tc>
        <w:tc>
          <w:p/>
          <w:p>
            <w:pPr>
              <w:spacing w:after="0" w:before="0" w:lineRule="auto" w:line="276"/>
              <w:jc w:val="left"/>
            </w:pPr>
            <w:r>
              <w:rPr>
                <w:rFonts w:ascii="Times New Roman" w:hAnsi="Times New Roman" w:cs="Times New Roman" w:eastAsia="Times New Roman"/>
                <w:b w:val="false"/>
                <w:sz w:val="26"/>
              </w:rPr>
              <w:t>Mau 05 MTYT 5083.docx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4. Giấy ủy quyền thực hiện việc đăng ký lưu hành trừ trường hợp quy định tại điểm a khoản 1 Điều 20 Nghị định số 91/2016/NĐ-CP;</w:t>
            </w:r>
          </w:p>
        </w:tc>
        <w:tc>
          <w:p/>
          <w:p>
            <w:pPr>
              <w:spacing w:after="0" w:before="0" w:lineRule="auto" w:line="276"/>
              <w:jc w:val="left"/>
            </w:pPr>
            <w:r>
              <w:rPr>
                <w:rFonts w:ascii="Times New Roman" w:hAnsi="Times New Roman" w:cs="Times New Roman" w:eastAsia="Times New Roman"/>
                <w:b w:val="false"/>
                <w:sz w:val="26"/>
              </w:rPr>
              <w:t>Phu luc VII MTYT 5083.docx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5. Giấy chứng nhận lưu hành tự do, trừ trường hợp chế phẩm đã được cấp số đăng ký lưu hành để sản xuất tại Việt Nam và đăng ký lưu hành bổ sung cơ sở sản xuất tại nước ngoài;</w:t>
            </w:r>
          </w:p>
        </w:tc>
        <w:tc>
          <w:p/>
          <w:p>
            <w:pPr>
              <w:spacing w:after="0" w:before="0" w:lineRule="auto" w:line="276"/>
              <w:jc w:val="left"/>
            </w:pPr>
            <w:r>
              <w:rPr>
                <w:rFonts w:ascii="Times New Roman" w:hAnsi="Times New Roman" w:cs="Times New Roman" w:eastAsia="Times New Roman"/>
                <w:b w:val="false"/>
                <w:sz w:val="26"/>
              </w:rPr>
              <w:t>Phu luc VIII MTYT 5083.docx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6. Mẫu nhãn mới của chế phẩm.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Giấy tờ về tư cách pháp nhân của cơ sở sản xuất ghi địa điểm mới: - Đối với cơ sở tại Việt Nam: Giấy tờ về tư cách pháp nhân của cơ sở sản xuất ghi địa điểm mới (Bản sao hợp lệ hoặc bản sao giấy tờ về tư cách pháp nhân của cơ sở sản xuất ghi địa điểm mới có đóng dấu của đơn vị được cấp theo quy định tại Nghị định số 129/2024/NĐ-CP).  - Đối với cơ sở tại nước ngoài: văn bản thông báo thay đổi địa điểm, cơ sở sản xuất (Bản gốc hoặc bản sao hợp lệ văn bản thông báo thay đổi địa điểm hoặc thay đổi cơ sở sản xuất của cơ sở nước ngoài được hợp pháp hóa lãnh sự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Phiếu trả lời kết quả khảo nghiệm chế phẩm sản xuất tại cơ sở mới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Phòng bệnh - Bộ Y tế</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đồng ý hoặc không đồng ý</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91/2016/NĐ-CP</w:t>
            </w:r>
          </w:p>
        </w:tc>
        <w:tc>
          <w:p/>
          <w:p>
            <w:pPr>
              <w:spacing w:after="0" w:before="0" w:lineRule="auto" w:line="276"/>
              <w:jc w:val="left"/>
            </w:pPr>
            <w:r>
              <w:rPr>
                <w:rFonts w:ascii="Times New Roman" w:hAnsi="Times New Roman" w:cs="Times New Roman" w:eastAsia="Times New Roman"/>
                <w:b w:val="false"/>
                <w:sz w:val="26"/>
              </w:rPr>
              <w:t>Nghị định 91/2016/NĐ-CP-Về quản lý hóa chất, chế phẩm diệt côn trùng, diệt khuẩn dùng trong lĩnh vực gia dụng và y tế</w:t>
            </w:r>
          </w:p>
        </w:tc>
        <w:tc>
          <w:p/>
          <w:p>
            <w:pPr>
              <w:spacing w:after="0" w:before="0" w:lineRule="auto" w:line="276"/>
              <w:jc w:val="left"/>
            </w:pPr>
            <w:r>
              <w:rPr>
                <w:rFonts w:ascii="Times New Roman" w:hAnsi="Times New Roman" w:cs="Times New Roman" w:eastAsia="Times New Roman"/>
                <w:b w:val="false"/>
                <w:sz w:val="26"/>
              </w:rPr>
              <w:t>01-07-2016</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155/2018/NĐ-CP</w:t>
            </w:r>
          </w:p>
        </w:tc>
        <w:tc>
          <w:p/>
          <w:p>
            <w:pPr>
              <w:spacing w:after="0" w:before="0" w:lineRule="auto" w:line="276"/>
              <w:jc w:val="left"/>
            </w:pPr>
            <w:r>
              <w:rPr>
                <w:rFonts w:ascii="Times New Roman" w:hAnsi="Times New Roman" w:cs="Times New Roman" w:eastAsia="Times New Roman"/>
                <w:b w:val="false"/>
                <w:sz w:val="26"/>
              </w:rPr>
              <w:t>4- Nghị định 155/2018/NĐ-CP ngày 13 tháng 11 năm 2018 của Chính phủ sửa đổi, bổ sung một số quy định liên quan đến điều kiện đầu tư kinh doanh thuộc phạm vi quản lý nhà nước của Bộ Y tế.</w:t>
            </w:r>
          </w:p>
        </w:tc>
        <w:tc>
          <w:p/>
          <w:p>
            <w:pPr>
              <w:spacing w:after="0" w:before="0" w:lineRule="auto" w:line="276"/>
              <w:jc w:val="left"/>
            </w:pPr>
            <w:r>
              <w:rPr>
                <w:rFonts w:ascii="Times New Roman" w:hAnsi="Times New Roman" w:cs="Times New Roman" w:eastAsia="Times New Roman"/>
                <w:b w:val="false"/>
                <w:sz w:val="26"/>
              </w:rPr>
              <w:t>13-11-2018</w:t>
            </w:r>
          </w:p>
        </w:tc>
        <w:tc>
          <w:p/>
        </w:tc>
      </w:tr>
      <w:tr>
        <w:tc>
          <w:p/>
          <w:p>
            <w:pPr>
              <w:spacing w:after="0" w:before="0" w:lineRule="auto" w:line="276"/>
              <w:jc w:val="left"/>
            </w:pPr>
            <w:r>
              <w:rPr>
                <w:rFonts w:ascii="Times New Roman" w:hAnsi="Times New Roman" w:cs="Times New Roman" w:eastAsia="Times New Roman"/>
                <w:b w:val="false"/>
                <w:sz w:val="26"/>
              </w:rPr>
              <w:t>59/2023/TT- BTC</w:t>
            </w:r>
          </w:p>
        </w:tc>
        <w:tc>
          <w:p/>
          <w:p>
            <w:pPr>
              <w:spacing w:after="0" w:before="0" w:lineRule="auto" w:line="276"/>
              <w:jc w:val="left"/>
            </w:pPr>
            <w:r>
              <w:rPr>
                <w:rFonts w:ascii="Times New Roman" w:hAnsi="Times New Roman" w:cs="Times New Roman" w:eastAsia="Times New Roman"/>
                <w:b w:val="false"/>
                <w:sz w:val="26"/>
              </w:rPr>
              <w:t>Thông tư số 59/2023/TT- BTC ngày 30/8/2023 của Bộ trưởng Bộ Tài chính về quy định mức thu, chế độ thu, nộp, quản lý và sử dụng phí trong lĩnh vực y tế</w:t>
            </w:r>
          </w:p>
        </w:tc>
        <w:tc>
          <w:p/>
          <w:p>
            <w:pPr>
              <w:spacing w:after="0" w:before="0" w:lineRule="auto" w:line="276"/>
              <w:jc w:val="left"/>
            </w:pPr>
            <w:r>
              <w:rPr>
                <w:rFonts w:ascii="Times New Roman" w:hAnsi="Times New Roman" w:cs="Times New Roman" w:eastAsia="Times New Roman"/>
                <w:b w:val="false"/>
                <w:sz w:val="26"/>
              </w:rPr>
              <w:t>30-08-2023</w:t>
            </w:r>
          </w:p>
        </w:tc>
        <w:tc>
          <w:p/>
        </w:tc>
      </w:tr>
      <w:tr>
        <w:tc>
          <w:p/>
          <w:p>
            <w:pPr>
              <w:spacing w:after="0" w:before="0" w:lineRule="auto" w:line="276"/>
              <w:jc w:val="left"/>
            </w:pPr>
            <w:r>
              <w:rPr>
                <w:rFonts w:ascii="Times New Roman" w:hAnsi="Times New Roman" w:cs="Times New Roman" w:eastAsia="Times New Roman"/>
                <w:b w:val="false"/>
                <w:sz w:val="26"/>
              </w:rPr>
              <w:t>43/2024/TT-BTC</w:t>
            </w:r>
          </w:p>
        </w:tc>
        <w:tc>
          <w:p/>
          <w:p>
            <w:pPr>
              <w:spacing w:after="0" w:before="0" w:lineRule="auto" w:line="276"/>
              <w:jc w:val="left"/>
            </w:pPr>
            <w:r>
              <w:rPr>
                <w:rFonts w:ascii="Times New Roman" w:hAnsi="Times New Roman" w:cs="Times New Roman" w:eastAsia="Times New Roman"/>
                <w:b w:val="false"/>
                <w:sz w:val="26"/>
              </w:rPr>
              <w:t>43/2024/TT-BTC</w:t>
            </w:r>
          </w:p>
        </w:tc>
        <w:tc>
          <w:p/>
          <w:p>
            <w:pPr>
              <w:spacing w:after="0" w:before="0" w:lineRule="auto" w:line="276"/>
              <w:jc w:val="left"/>
            </w:pPr>
            <w:r>
              <w:rPr>
                <w:rFonts w:ascii="Times New Roman" w:hAnsi="Times New Roman" w:cs="Times New Roman" w:eastAsia="Times New Roman"/>
                <w:b w:val="false"/>
                <w:sz w:val="26"/>
              </w:rPr>
              <w:t>28-06-2024</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129/2024/NĐ-CP</w:t>
            </w:r>
          </w:p>
        </w:tc>
        <w:tc>
          <w:p/>
          <w:p>
            <w:pPr>
              <w:spacing w:after="0" w:before="0" w:lineRule="auto" w:line="276"/>
              <w:jc w:val="left"/>
            </w:pPr>
            <w:r>
              <w:rPr>
                <w:rFonts w:ascii="Times New Roman" w:hAnsi="Times New Roman" w:cs="Times New Roman" w:eastAsia="Times New Roman"/>
                <w:b w:val="false"/>
                <w:sz w:val="26"/>
              </w:rPr>
              <w:t>Nghị định sửa đổi, bổ sung một số Điều của Nghị định số 91/2016/NĐ-CP ngày 01 tháng 7 năm 2016 của Chính phủ về quản lý hóa chất, chế phẩm diệt côn trùng, diệt khuẩn dùng trong lĩnh vực gia dụng và y tế; Nghị định số 155/2018/NĐ-CP ngày 12 tháng 11 năm 2018 của Chính phủ sửa đổi, bổ sung một số quy định liên quan đến điều kiện đầu tư kinh doanh thuộc phạm vi quản lý nhà nước của Bộ Y tế</w:t>
            </w:r>
          </w:p>
        </w:tc>
        <w:tc>
          <w:p/>
          <w:p>
            <w:pPr>
              <w:spacing w:after="0" w:before="0" w:lineRule="auto" w:line="276"/>
              <w:jc w:val="left"/>
            </w:pPr>
            <w:r>
              <w:rPr>
                <w:rFonts w:ascii="Times New Roman" w:hAnsi="Times New Roman" w:cs="Times New Roman" w:eastAsia="Times New Roman"/>
                <w:b w:val="false"/>
                <w:sz w:val="26"/>
              </w:rPr>
              <w:t>10-10-2024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42/2025/NĐ-CP</w:t>
            </w:r>
          </w:p>
        </w:tc>
        <w:tc>
          <w:p/>
          <w:p>
            <w:pPr>
              <w:spacing w:after="0" w:before="0" w:lineRule="auto" w:line="276"/>
              <w:jc w:val="left"/>
            </w:pPr>
            <w:r>
              <w:rPr>
                <w:rFonts w:ascii="Times New Roman" w:hAnsi="Times New Roman" w:cs="Times New Roman" w:eastAsia="Times New Roman"/>
                <w:b w:val="false"/>
                <w:sz w:val="26"/>
              </w:rPr>
              <w:t>Nghị định số 42/2025/NĐ-CP của Chính phủ: Quy định chức năng, nhiệm vụ, quyền hạn và cơ cấu tổ chức của Bộ Y tế</w:t>
            </w:r>
          </w:p>
        </w:tc>
        <w:tc>
          <w:p/>
          <w:p>
            <w:pPr>
              <w:spacing w:after="0" w:before="0" w:lineRule="auto" w:line="276"/>
              <w:jc w:val="left"/>
            </w:pPr>
            <w:r>
              <w:rPr>
                <w:rFonts w:ascii="Times New Roman" w:hAnsi="Times New Roman" w:cs="Times New Roman" w:eastAsia="Times New Roman"/>
                <w:b w:val="false"/>
                <w:sz w:val="26"/>
              </w:rPr>
              <w:t>27-02-2025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Yêu cầu đối với hồ sơ đăng ký lưu hành:
- Đối với hồ sơ nộp trực tiếp hoặc nộp qua bưu chính công ích: theo quy định tại Điều 26 Nghị định số 91/2016/NĐ-CP được sửa đổi bổ sung tại Nghị định số 155/2018/NĐ-CP và Nghị định số 129/2024/NĐ-CP.
- Đối với hồ sơ đăng ký trực tuyến: theo quy định tại Điều 52 Nghị định số 91/2016/NĐ-CP.
Điều kiện đối với chế phẩm đăng ký lưu hành: theo quy định tại Điều 19 Nghị định số 91/2016/NĐ-CP.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2026-05-09T03:12:02Z</dcterms:created>
  <dc:creator>Apache POI</dc:creator>
</cp:coreProperties>
</file>