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đổi tên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Bộ phận Tiếp nhận và Trả kết quả Bộ Y tế. 
Bước 2: Sau khi nhận được hồ sơ đăng ký lưu hành bổ sung đầy đủ và phí thẩm định hồ sơ, Cục Quản lý Môi trường y tế, Bộ Y tế gửi cho cơ sở đăng ký Phiếu tiếp nhận hồ sơ theo Mẫu số 05 tại Phụ lục III ban hành kèm theo Nghị định số 91/2016/NĐ-CP.
Bước 3: Trong thời hạn 30 ngày, kể từ ngày ghi trên Phiếu tiếp nhận hồ sơ, Cục Quản lý Môi trường y tế, Bộ Y tế thông báo bằng văn bản cho cơ sở đăng ký về việc bổ sung, sửa đổi hồ sơ hoặc đồng ý hoặc không đồng ý với nội dung đăng ký lưu hành bổ sung và nêu rõ lý do.
Bước 4: Trường hợp Cục Quản lý Môi trường y tế, Bộ Y tế có văn bản yêu cầu sửa đổi, bổ sung hồ sơ, trong thời hạn 90 ngày kể từ ngày ghi trên văn bản, cơ sở đăng ký lưu hành bổ sung phải hoàn chỉnh hồ sơ, giải trình bằng văn bản và gửi đến Bộ Y tế. Ngày tiếp nhận hồ sơ bổ sung, sửa đổi được ghi trên Phiếu tiếp nhận hồ sơ. Quá thời hạn trên, hồ sơ đăng ký lưu hành bổ sung sẽ bị hủy bỏ.
Trường hợp cơ sở đăng ký không nộp hồ sơ đúng hạn vì lý do bất khả kháng như: thiên tai, thảm họa, dịch bệnh, hỏa hoạn,… thì được nộp hồ sơ muộn hơn theo quy định nhưng không quá 12 tháng kể từ ngày hết hạn bổ sung hồ sơ kèm theo văn bản giải trình.
Bước 5: Nếu không còn yêu cầu sửa đổi, bổ sung, Cục Quản lý Môi trường y tế, Bộ Y tế phải thực hiện việc bổ sung Giấy chứng nhận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số155/2018/NĐ-CP;</w:t>
            </w:r>
          </w:p>
        </w:tc>
        <w:tc>
          <w:p/>
          <w:p>
            <w:pPr>
              <w:spacing w:after="0" w:before="0" w:lineRule="auto" w:line="276"/>
              <w:jc w:val="left"/>
            </w:pPr>
            <w:r>
              <w:rPr>
                <w:rFonts w:ascii="Times New Roman" w:hAnsi="Times New Roman" w:cs="Times New Roman" w:eastAsia="Times New Roman"/>
                <w:b w:val="false"/>
                <w:sz w:val="26"/>
              </w:rPr>
              <w:t>Mau 05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ủy quyền thực hiện việc đăng ký lưu hành chế phẩm với tên thương mại mới, trừ trường hợp quy định tại điểm a khoản 1 Điều 20 Nghị định số 91/2016/NĐ-CP;</w:t>
            </w:r>
          </w:p>
        </w:tc>
        <w:tc>
          <w:p/>
          <w:p>
            <w:pPr>
              <w:spacing w:after="0" w:before="0" w:lineRule="auto" w:line="276"/>
              <w:jc w:val="left"/>
            </w:pPr>
            <w:r>
              <w:rPr>
                <w:rFonts w:ascii="Times New Roman" w:hAnsi="Times New Roman" w:cs="Times New Roman" w:eastAsia="Times New Roman"/>
                <w:b w:val="false"/>
                <w:sz w:val="26"/>
              </w:rPr>
              <w:t>Phu luc VII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Đối với chế phẩm nhập khẩu: giấy chứng nhận lưu hành tự do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Mẫu nhãn mới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của cơ quan nhà nước có thẩm quyền về việc vi phạm sở hữu trí tuệ đối với tên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2026-05-09T03:18:18Z</dcterms:created>
  <dc:creator>Apache POI</dc:creator>
</cp:coreProperties>
</file>