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thay đổi phạm vi hoạt động chuyên môn trong chứng chỉ hành nghề khám bệnh, chữa bệnh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Sở Y tế sẽ xem xét thẩm định và có biên bản thẩm định, cụ thể :
-         Trường hợp hồ sơ hợp lệ, thì trong thời hạn 10 ngày làm việc, kể từ ngày có biên bản thẩm định, cơ quan tiếp nhận hồ sơ cấp, cấp lại chứng chỉ hành nghề cho đối tượng.
-         Trường hợp hồ sơ chưa hợp lệ thì trong thời hạn 05 ngày làm việc, kể từ ngày có biên bản thẩm định, cơ quan tiếp nhận hồ sơ phải có văn bản thông báo cho người đề nghị cấp, cấp lại chứng chỉ hành nghề để hoàn chỉnh hồ sơ. Văn bản thông báo phải ghi cụ thể những tài liệu cần bổ sung, nội dung cần sửa đổi.
-         Trường hợp không đủ điều kiện để cấp chứng chỉ hành nghề, Sở Y tế sẽ có văn bản trả lời và nêu lý do.</w:t>
      </w:r>
    </w:p>
    <w:p>
      <w:pPr>
        <w:spacing w:after="0" w:before="0" w:lineRule="auto" w:line="276"/>
        <w:jc w:val="both"/>
      </w:pPr>
      <w:r>
        <w:rPr>
          <w:rFonts w:ascii="Times New Roman" w:hAnsi="Times New Roman" w:cs="Times New Roman" w:eastAsia="Times New Roman"/>
          <w:b w:val="false"/>
          <w:sz w:val="26"/>
        </w:rPr>
        <w:t>- Trường hợp hồ sơ hợp lệ, thì trong thời hạn 10 ngày làm việc, kể từ ngày có biên bản thẩm định, cơ quan tiếp nhận hồ sơ cấp, cấp lại chứng chỉ hành nghề cho đối tượng.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cấp lại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Sở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thẩm định)</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thay đổi phạm vi hoạt động chuyên môn theo Mẫu 06 Phụ lục I ban hành kèm theo Nghị định này;</w:t>
            </w:r>
          </w:p>
        </w:tc>
        <w:tc>
          <w:p/>
          <w:p>
            <w:pPr>
              <w:spacing w:after="0" w:before="0" w:lineRule="auto" w:line="276"/>
              <w:jc w:val="left"/>
            </w:pPr>
            <w:r>
              <w:rPr>
                <w:rFonts w:ascii="Times New Roman" w:hAnsi="Times New Roman" w:cs="Times New Roman" w:eastAsia="Times New Roman"/>
                <w:b w:val="false"/>
                <w:sz w:val="26"/>
              </w:rPr>
              <w:t>ND 109_2016_mau 06_Phu luc 1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chứng chỉ, giấy chứng nhận chuyên môn phù hợp với phạm vi hoạt động chuyên môn đề nghị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chứng chỉ hành nghề khám bệnh, chữa bệnh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 quy định tại khoản 3 Điều 5 Nghị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chuyên môn; Giấy xác nhận quá trình thực hành; Bản sao có chứng thực giấy chứng nhận biết tiếng Việt thành thạo do tổ chức nước ngoài cấp phải được hợp pháp hóa lãnh sự và dịch ra tiếng Việt, bản dịch phải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 Người Việt Nam làm việc tại cơ sở khám bệnh, chữa bệnh thuộc Sở Y tế (trừ trường hợp thuộc thẩm quyền của Bộ Y tế và Bộ Quốc phòng).
2- Điều kiện để thay đổi phạm vi hoạt động chuyên môn trong chứng chỉ hành nghề đối với người Việt Nam
2.1. Có một trong các văn bằng, giấy chứng nhận sau đây phù hợp với hình thức hành nghề khám bệnh, chữa bệnh:
a) Đơn đề nghị cấp thay đổi phạm vi hoạt động chuyên môn theo Mẫu 06 Phụ lục I ban hành kèm theo Nghị định này;
b) Bản sao hợp lệ văn bằng, chứng chỉ, giấy chứng nhận chuyên môn phù hợp với phạm vi hoạt động chuyên môn đề nghị thay đổi;
c) Bản gốc chứng chỉ hành nghề khám bệnh, chữa bệnh đã được cấp;
d) Giấy xác nhận quá trình thực hành quy định tại khoản 3 Điều 5 Nghị định này;
đ) Hai ảnh màu 04 cm x 06 cm được chụp trên nền trắng trong thời gian không quá 06 tháng, tính đến ngày nộp đơn.
2.4.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2026-05-18T12:40:31Z</dcterms:created>
  <dc:creator>Apache POI</dc:creator>
</cp:coreProperties>
</file>