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nhà hộ sinh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45 ngày kể từ ngày nhận đủ hồ sơ, Sở Y tế sẽ xem xét thẩm định hồ sơ và thẩm định tại cơ sở xin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5.700.000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 xml:space="preserve">Trong thời hạn 45 ngày,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5.700.000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 xml:space="preserve">Trong thời hạn 45 ngày, kể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01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số IV_ND109.docx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vận chuyển người bệnh đối với nhà hộ sinh không có phương tiện vận chuyển cấp cứu ngoài cơ sở;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động[1]
1. Cơ sở vật chất:
a) Có địa điểm cố định (trừ trường hợp tổ chức khám bệnh, chữa bệnh lưu động);
b) Bảo đảm các điều kiện về an toàn bức xạ, phòng cháy chữa cháy theo quy định của pháp luật;
c) Phải bố trí khu vực tiệt trùng để xử lý dụng cụ y tế sử dụng lại, trừ trường hợp không có dụng cụ phải tiệt trùng lại hoặc có hợp đồng với cơ sở y tế khác để tiệt trùng dụng cụ.
d) Các phòng chức năng phải được thiết kế liên hoàn, hợp lý để thuận tiện cấp cứu, khám bệnh, chữa bệnh;
e) Có các phòng khám thai, khám phụ khoa, phòng nằm của sản phụ. Các phòng này phải đủ có diện tích để thực hiện kỹ thuật chuyên môn.
2. Trang thiết bị y tế:
a) Có đủ trang thiết bị y tế phù hợp với phạm vi hoạt động chuyên môn của cơ sở;
b) Có đủ phương tiện vận chuyển cấp cứu trong và ngoài nhà hộ sinh. Trường hợp không có phương tiện cấp cứu ngoài nhà hộ sinh thì phải có hợp đồng với cơ sở khám bệnh, chữa bệnh đã được cấp giấy phép hoạt động và được phép cung cấp dịch vụ cấp cứu, hỗ trợ vận chuyển người bệnh;
c) Có hộp thuốc chống sốc và đủ thuốc cấp cứu chuyên khoa.
3. Nhân lực:
 a) Người chịu trách nhiệm chuyên môn kỹ thuật của nhà hộ sinh phải đáp ứng các điều kiện sau đây:
       - Là bác sỹ chuyên khoa sản phụ khoa hoặc hộ sinh viên trình độ đại học trở lên có chứng chỉ hành nghề;
- Có thời gian hành nghề khám bệnh, chữa bệnh về sản phụ khoa ít nhất là 36 tháng sau khi được cấp chứng chỉ hành nghề hoặc có thời gian trực tiếp tham gia khám bệnh, chữa bệnh ít nhất là 54 tháng. Việc phân công, bổ nhiệm người chịu trách nhiệm chuyên môn kỹ thuật của nhà hộ sinh phải được thể hiện bằng văn bản.
b) Ngoài người chịu trách nhiệm chuyên môn kỹ thuật của cơ sở khám bệnh, chữa bệnh, các đối tượng khác làm việc trong cơ sở nếu có thực hiện việc khám bệnh, chữa bệnh thì phải có chứng chỉ hành nghề và chỉ được thực hiện việc khám bệnh, chữa bệnh trong phạm vi công việc được phân            công. Căn cứ vào phạm vi hoạt động chuyên môn, văn bằng, chứng chỉ, chứng nhận đào tạo và năng lực của người hành nghề, người chịu trách nhiệm chuyên môn kỹ thuật của cơ sở khám bệnh, chữa bệnh phân công người hành nghề được thực hiện các kỹ thuật chuyên môn bằng văn bản;
c) Kỹ thuật viên xét nghiệm có trình độ đại học được đọc và ký kết quả xét nghiệm. Trường hợp cơ sở khám bệnh, chữa bệnh không có bác sỹ chuyên khoa xét nghiệm hoặc kỹ thuật viên xét nghiệm có trình độ đại học thì bác sỹ chỉ định xét nghiệm đọc và ký kết quả xét nghiệm;
d) Cử nhân X-Quang có trình độ đại học được đọc và mô tả hình ảnh chẩn đoán. Trường hợp cơ sở khám bệnh, chữa bệnh không có bác sỹ chuyên khoa chẩn đoán hình ảnh hoặc bác sỹ X-Quang thì bác sỹ chỉ định kỹ thuật chẩn đoán hình ảnh đọc và ký kết quả chẩn đoán hình ảnh;
đ) Các đối tượng khác tham gia vào quá trình khám bệnh, chữa bệnh nhưng không cần phải cấp chứng chỉ hành nghề theo quy định của Luật khám bệnh, chữa bệnh thì được phép thực hiện các hoạt động theo phân công của người chịu trách nhiệm chuyên môn kỹ thuật của cơ sở khám bệnh, chữa bệnh (kỹ sư vật lý y học, kỹ sư xạ trị, âm ngữ trị liệu, tâm lý trị liệu và các đối tượng khác), việc phân công phải phù hợp với văn bằng chuyên môn của người đó.
4. Phạm vi hoạt động chuyên môn: 
Thực hiện các kỹ thuật chuyên môn theo danh mục được Giám đốc Sở Y tế phê duyệt. Trường hợp nhà hộ sinh có đủ điều kiện cung cấp dịch vụ khám bệnh, chữa bệnh chuyên khoa nhi theo quy định tại Điều 27 Nghị định này hoặc tiêm chủng vắc-xin theo quy định của pháp luật về tiêm chủng thì được bổ sung vào quy mô, phạm vi hoạt động chuyên môn của nhà hộ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2026-05-09T02:37:21Z</dcterms:created>
  <dc:creator>Apache POI</dc:creator>
</cp:coreProperties>
</file>