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1.003789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2060/QĐ-BKHCN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ghi nhận Người đại diện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Tiếp nhận hồ sơ</w:t>
      </w:r>
    </w:p>
    <w:p>
      <w:pPr>
        <w:spacing w:after="0" w:before="0" w:lineRule="auto" w:line="276"/>
        <w:jc w:val="both"/>
      </w:pPr>
      <w:r>
        <w:rPr>
          <w:rFonts w:ascii="Times New Roman" w:hAnsi="Times New Roman" w:cs="Times New Roman" w:eastAsia="Times New Roman"/>
          <w:b w:val="false"/>
          <w:sz w:val="26"/>
        </w:rPr>
        <w:t>Hồ sơ yêu cầu có thể được nộp trực tiếp hoặc qua bưu điện tới trụ sở Cục Sở hữu trí tuệ tại Hà Nội hoặc 2 Văn phòng đại diện của Cục tại TP. Hồ Chí Minh và Đà Nẵng.</w:t>
      </w:r>
    </w:p>
    <w:p>
      <w:pPr>
        <w:spacing w:after="0" w:before="0" w:lineRule="auto" w:line="276"/>
        <w:jc w:val="both"/>
      </w:pPr>
      <w:r>
        <w:rPr>
          <w:rFonts w:ascii="Times New Roman" w:hAnsi="Times New Roman" w:cs="Times New Roman" w:eastAsia="Times New Roman"/>
          <w:b w:val="false"/>
          <w:sz w:val="26"/>
        </w:rPr>
        <w:t>- Bước 2: Xử lý hồ sơ</w:t>
      </w:r>
    </w:p>
    <w:p>
      <w:pPr>
        <w:spacing w:after="0" w:before="0" w:lineRule="auto" w:line="276"/>
        <w:jc w:val="both"/>
      </w:pPr>
      <w:r>
        <w:rPr>
          <w:rFonts w:ascii="Times New Roman" w:hAnsi="Times New Roman" w:cs="Times New Roman" w:eastAsia="Times New Roman"/>
          <w:b w:val="false"/>
          <w:sz w:val="26"/>
        </w:rPr>
        <w:t>+ Trường hợp hồ sơ hợp lệ, Cục Sở hữu trí tuệ ra quyết định ghi nhận người đại diện sở hữu công nghiệp, ghi nhận vào Sổ đăng ký quốc gia về đại diện sở hữu công nghiệp và công bố trên Công báo sở hữu công nghiệp;</w:t>
      </w:r>
    </w:p>
    <w:p>
      <w:pPr>
        <w:spacing w:after="0" w:before="0" w:lineRule="auto" w:line="276"/>
        <w:jc w:val="both"/>
      </w:pPr>
      <w:r>
        <w:rPr>
          <w:rFonts w:ascii="Times New Roman" w:hAnsi="Times New Roman" w:cs="Times New Roman" w:eastAsia="Times New Roman"/>
          <w:b w:val="false"/>
          <w:sz w:val="26"/>
        </w:rPr>
        <w:t>+ Trường hợp hồ sơ có thiếu sót, Cục Sở hữu trí tuệ ra thông báo các thiếu sót của hồ sơ để sửa chữa; hoặc ra thông báo từ chối ghi người đại diện sở hữu công nghiệp, nếu người nộp hồ sơ không sửa chữa thiếu sót/sửa chữa thiếu sót không đạt yêu cầu hoặc hồ sơ không hợp lệ.</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ghi nhận người đại diện sở hữu công nghiệp:)</w:t>
            </w:r>
          </w:p>
          <w:p>
            <w:pPr>
              <w:spacing w:after="0" w:before="0" w:lineRule="auto" w:line="276"/>
              <w:jc w:val="left"/>
            </w:pPr>
            <w:r>
              <w:rPr>
                <w:rFonts w:ascii="Times New Roman" w:hAnsi="Times New Roman" w:cs="Times New Roman" w:eastAsia="Times New Roman"/>
                <w:b w:val="false"/>
                <w:sz w:val="26"/>
              </w:rPr>
              <w:t>Lệ phí : 150.000 Đồng</w:t>
              <w:t xml:space="preserve"> (Lệ phí công bố Quyết định ghi nhận người đại diện sở hữu công nghiệp)</w:t>
            </w:r>
          </w:p>
          <w:p>
            <w:pPr>
              <w:spacing w:after="0" w:before="0" w:lineRule="auto" w:line="276"/>
              <w:jc w:val="left"/>
            </w:pPr>
            <w:r>
              <w:rPr>
                <w:rFonts w:ascii="Times New Roman" w:hAnsi="Times New Roman" w:cs="Times New Roman" w:eastAsia="Times New Roman"/>
                <w:b w:val="false"/>
                <w:sz w:val="26"/>
              </w:rPr>
              <w:t>Lệ phí : 150.000 Đồng</w:t>
              <w:t xml:space="preserve"> (Lệ phí đăng bạ Quyết định ghi nhận người đại diện sở hữu công nghiệp)</w:t>
            </w:r>
          </w:p>
        </w:tc>
        <w:tc>
          <w:p/>
          <w:p>
            <w:pPr>
              <w:spacing w:after="0" w:before="0" w:lineRule="auto" w:line="276"/>
              <w:jc w:val="left"/>
            </w:pPr>
            <w:r>
              <w:rPr>
                <w:rFonts w:ascii="Times New Roman" w:hAnsi="Times New Roman" w:cs="Times New Roman" w:eastAsia="Times New Roman"/>
                <w:b w:val="false"/>
                <w:sz w:val="26"/>
              </w:rPr>
              <w:t>15 ngày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250.000 Đồng</w:t>
              <w:t xml:space="preserve"> (Phí thẩm định hồ sơ yêu cầu ghi nhận người đại diện sở hữu công nghiệp:)</w:t>
            </w:r>
          </w:p>
          <w:p>
            <w:pPr>
              <w:spacing w:after="0" w:before="0" w:lineRule="auto" w:line="276"/>
              <w:jc w:val="left"/>
            </w:pPr>
            <w:r>
              <w:rPr>
                <w:rFonts w:ascii="Times New Roman" w:hAnsi="Times New Roman" w:cs="Times New Roman" w:eastAsia="Times New Roman"/>
                <w:b w:val="false"/>
                <w:sz w:val="26"/>
              </w:rPr>
              <w:t>Lệ phí : 150.000 Đồng</w:t>
              <w:t xml:space="preserve"> (Lệ phí công bố Quyết định ghi nhận người đại diện sở hữu công nghiệp)</w:t>
            </w:r>
          </w:p>
          <w:p>
            <w:pPr>
              <w:spacing w:after="0" w:before="0" w:lineRule="auto" w:line="276"/>
              <w:jc w:val="left"/>
            </w:pPr>
            <w:r>
              <w:rPr>
                <w:rFonts w:ascii="Times New Roman" w:hAnsi="Times New Roman" w:cs="Times New Roman" w:eastAsia="Times New Roman"/>
                <w:b w:val="false"/>
                <w:sz w:val="26"/>
              </w:rPr>
              <w:t>Lệ phí : 150.000 Đồng</w:t>
              <w:t xml:space="preserve"> (Lệ phí đăng bạ Quyết định ghi nhận người đại diện sở hữu công nghiệp)</w:t>
            </w:r>
          </w:p>
        </w:tc>
        <w:tc>
          <w:p/>
          <w:p>
            <w:pPr>
              <w:spacing w:after="0" w:before="0" w:lineRule="auto" w:line="276"/>
              <w:jc w:val="left"/>
            </w:pPr>
            <w:r>
              <w:rPr>
                <w:rFonts w:ascii="Times New Roman" w:hAnsi="Times New Roman" w:cs="Times New Roman" w:eastAsia="Times New Roman"/>
                <w:b w:val="false"/>
                <w:sz w:val="26"/>
              </w:rPr>
              <w:t>15 ngày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(02 bản);</w:t>
            </w:r>
          </w:p>
        </w:tc>
        <w:tc>
          <w:p/>
          <w:p>
            <w:pPr>
              <w:spacing w:after="0" w:before="0" w:lineRule="auto" w:line="276"/>
              <w:jc w:val="left"/>
            </w:pPr>
            <w:r>
              <w:rPr>
                <w:rFonts w:ascii="Times New Roman" w:hAnsi="Times New Roman" w:cs="Times New Roman" w:eastAsia="Times New Roman"/>
                <w:b w:val="false"/>
                <w:sz w:val="26"/>
              </w:rPr>
              <w:t>E.03 ghi nhan to chuc.doc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tuyển dụng hoặc hợp đồng lao động của tổ chức dịch vụ đại diện sở hữu công nghiệp đối với cá nhân (xuất trình bản chính để đối chiếu, trừ trường hợp bản sao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chứng từ nộp phí, lệ phí (trường hợp nộp phí, lệ phí qua dịch vụ bưu chính hoặc nộp trực tiếp vào tài khoản của Cục Sở hữu trí tuệ).</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Sở hữu trí tuệ - Bộ Khoa học và Công nghệ</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ghi nhận người đại diện sở hữu công nghiệp, Thông báo từ chối ghi nhận người đại diện sở hữu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01/2007/TT-BKHCN	</w:t>
            </w:r>
          </w:p>
        </w:tc>
        <w:tc>
          <w:p/>
          <w:p>
            <w:pPr>
              <w:spacing w:after="0" w:before="0" w:lineRule="auto" w:line="276"/>
              <w:jc w:val="left"/>
            </w:pPr>
            <w:r>
              <w:rPr>
                <w:rFonts w:ascii="Times New Roman" w:hAnsi="Times New Roman" w:cs="Times New Roman" w:eastAsia="Times New Roman"/>
                <w:b w:val="false"/>
                <w:sz w:val="26"/>
              </w:rPr>
              <w:t>Thông tư 01/2007/TT-BKHCN-Hướng dẫn thi hành Nghị định số 103/2006/NĐ-CP ngày 22/09/2006 của Chính phủ 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14-02-2007</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Thông tư 263/2016/TT-BTC-Quy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18/2011/TT-BKHCN</w:t>
            </w:r>
          </w:p>
        </w:tc>
        <w:tc>
          <w:p/>
          <w:p>
            <w:pPr>
              <w:spacing w:after="0" w:before="0" w:lineRule="auto" w:line="276"/>
              <w:jc w:val="left"/>
            </w:pPr>
            <w:r>
              <w:rPr>
                <w:rFonts w:ascii="Times New Roman" w:hAnsi="Times New Roman" w:cs="Times New Roman" w:eastAsia="Times New Roman"/>
                <w:b w:val="false"/>
                <w:sz w:val="26"/>
              </w:rPr>
              <w:t>Thông tư 18/2011/TT-BKHCN-Sửa đổi, bổ sung một số quy định của Thông tư số 01/2007/TT-BKHCN ngày 14/02/2007, được sửa đổi, bổ sung theo Thông tư số 13/2010/TT-BKHCN ngày 31/7/2010 và Thông tư số 01/2008/TT-BKHCN ngày 25/02/2008, được sửa đổi, bổ sung theo Thông tư số 04/2009/TT-BKHCN ngày 27/3/2009</w:t>
            </w:r>
          </w:p>
        </w:tc>
        <w:tc>
          <w:p/>
          <w:p>
            <w:pPr>
              <w:spacing w:after="0" w:before="0" w:lineRule="auto" w:line="276"/>
              <w:jc w:val="left"/>
            </w:pPr>
            <w:r>
              <w:rPr>
                <w:rFonts w:ascii="Times New Roman" w:hAnsi="Times New Roman" w:cs="Times New Roman" w:eastAsia="Times New Roman"/>
                <w:b w:val="false"/>
                <w:sz w:val="26"/>
              </w:rPr>
              <w:t>22-07-2011</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103/2006/NĐ-CP</w:t>
            </w:r>
          </w:p>
        </w:tc>
        <w:tc>
          <w:p/>
          <w:p>
            <w:pPr>
              <w:spacing w:after="0" w:before="0" w:lineRule="auto" w:line="276"/>
              <w:jc w:val="left"/>
            </w:pPr>
            <w:r>
              <w:rPr>
                <w:rFonts w:ascii="Times New Roman" w:hAnsi="Times New Roman" w:cs="Times New Roman" w:eastAsia="Times New Roman"/>
                <w:b w:val="false"/>
                <w:sz w:val="26"/>
              </w:rPr>
              <w:t>Nghị định 103/2006/NĐ-CP-Quy định chi tiết và hướng dẫn thi hành một số điều của Luật Sở hữu trí tuệ về sở hữu công nghiệp</w:t>
            </w:r>
          </w:p>
        </w:tc>
        <w:tc>
          <w:p/>
          <w:p>
            <w:pPr>
              <w:spacing w:after="0" w:before="0" w:lineRule="auto" w:line="276"/>
              <w:jc w:val="left"/>
            </w:pPr>
            <w:r>
              <w:rPr>
                <w:rFonts w:ascii="Times New Roman" w:hAnsi="Times New Roman" w:cs="Times New Roman" w:eastAsia="Times New Roman"/>
                <w:b w:val="false"/>
                <w:sz w:val="26"/>
              </w:rPr>
              <w:t>22-09-2006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13/2010/TT-BKHCN</w:t>
            </w:r>
          </w:p>
        </w:tc>
        <w:tc>
          <w:p/>
          <w:p>
            <w:pPr>
              <w:spacing w:after="0" w:before="0" w:lineRule="auto" w:line="276"/>
              <w:jc w:val="left"/>
            </w:pPr>
            <w:r>
              <w:rPr>
                <w:rFonts w:ascii="Times New Roman" w:hAnsi="Times New Roman" w:cs="Times New Roman" w:eastAsia="Times New Roman"/>
                <w:b w:val="false"/>
                <w:sz w:val="26"/>
              </w:rPr>
              <w:t>Thông tư 13/2010/TT-BKHCN-Sửa đổi, bổ sung một số quy định của Thông tư số 17/2009/TT-BKHCN ngày 18/6/2009 và Thông tư số 01/2007/TT-BKHCN ngày 14/02/2007</w:t>
            </w:r>
          </w:p>
        </w:tc>
        <w:tc>
          <w:p/>
          <w:p>
            <w:pPr>
              <w:spacing w:after="0" w:before="0" w:lineRule="auto" w:line="276"/>
              <w:jc w:val="left"/>
            </w:pPr>
            <w:r>
              <w:rPr>
                <w:rFonts w:ascii="Times New Roman" w:hAnsi="Times New Roman" w:cs="Times New Roman" w:eastAsia="Times New Roman"/>
                <w:b w:val="false"/>
                <w:sz w:val="26"/>
              </w:rPr>
              <w:t>30-07-2010</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05/2013/TT-BKHCN</w:t>
            </w:r>
          </w:p>
        </w:tc>
        <w:tc>
          <w:p/>
          <w:p>
            <w:pPr>
              <w:spacing w:after="0" w:before="0" w:lineRule="auto" w:line="276"/>
              <w:jc w:val="left"/>
            </w:pPr>
            <w:r>
              <w:rPr>
                <w:rFonts w:ascii="Times New Roman" w:hAnsi="Times New Roman" w:cs="Times New Roman" w:eastAsia="Times New Roman"/>
                <w:b w:val="false"/>
                <w:sz w:val="26"/>
              </w:rPr>
              <w:t>Thông tư 05/2013/TT-BKHCN-Sửa đổi, bổ sung một số điều của Thông tư số 01/2007/TT-BKHCN ngày 14/02/2007 hướng dẫn thi hành Nghị định số 103/2006/NĐ-CP quy định chi tiết một số điều của Luật Sở hữu trí tuệ về sở hữu công nghiệp, được sửa đổi, bổ sung theo Thông tư số 13/2010/TT-BKHCN ngày 30/7/2010 và Thông tư số 18/2011/TT-BKHCN ngày 22/7/2011</w:t>
            </w:r>
          </w:p>
        </w:tc>
        <w:tc>
          <w:p/>
          <w:p>
            <w:pPr>
              <w:spacing w:after="0" w:before="0" w:lineRule="auto" w:line="276"/>
              <w:jc w:val="left"/>
            </w:pPr>
            <w:r>
              <w:rPr>
                <w:rFonts w:ascii="Times New Roman" w:hAnsi="Times New Roman" w:cs="Times New Roman" w:eastAsia="Times New Roman"/>
                <w:b w:val="false"/>
                <w:sz w:val="26"/>
              </w:rPr>
              <w:t>20-02-2013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16/2016/TT-BKHCN</w:t>
            </w:r>
          </w:p>
        </w:tc>
        <w:tc>
          <w:p/>
          <w:p>
            <w:pPr>
              <w:spacing w:after="0" w:before="0" w:lineRule="auto" w:line="276"/>
              <w:jc w:val="left"/>
            </w:pPr>
            <w:r>
              <w:rPr>
                <w:rFonts w:ascii="Times New Roman" w:hAnsi="Times New Roman" w:cs="Times New Roman" w:eastAsia="Times New Roman"/>
                <w:b w:val="false"/>
                <w:sz w:val="26"/>
              </w:rPr>
              <w:t>Thông tư 16/2016/TT-BKHCN-Thông tư Sửa đổi, bổ sung một số điều của Thông tư số 01/2007/TT-BKHCN ngày 14 tháng 02 năm 2007 hướng dẫn thi hành Nghị định số 103/2006/NĐ-CP ngày 22 tháng 9 năm 2006 của Chính phủ quy định chi tiết và hướng dẫn thi hành một số điều của Luật Sở hữu trí tuệ về sở hữu công nghiệp, được sửa đổi, bổ sung theo Thông tư số 13/2010/TT-BKHCN ngày 30 tháng 7 năm 2010, Thông tư số 18/2011/TT-BKHCN ngày 22 tháng 7 năm 2011 và Thông tư số 05/2013/TT-BKHCN ngày 20 tháng 02 năm 2013</w:t>
            </w:r>
          </w:p>
        </w:tc>
        <w:tc>
          <w:p/>
          <w:p>
            <w:pPr>
              <w:spacing w:after="0" w:before="0" w:lineRule="auto" w:line="276"/>
              <w:jc w:val="left"/>
            </w:pPr>
            <w:r>
              <w:rPr>
                <w:rFonts w:ascii="Times New Roman" w:hAnsi="Times New Roman" w:cs="Times New Roman" w:eastAsia="Times New Roman"/>
                <w:b w:val="false"/>
                <w:sz w:val="26"/>
              </w:rPr>
              <w:t>30-06-2016</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ghi nhận Người đại diện sở hữu công nghiệp</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2026-05-18T17:29:04Z</dcterms:created>
  <dc:creator>Apache POI</dc:creator>
</cp:coreProperties>
</file>