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quyền sở hữu số đăng ký lưu hành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Bộ phận Tiếp nhận và Trả kết quả Bộ Y tế. 
Bước 2: Sau khi nhận được hồ sơ đăng ký lưu hành bổ sung đầy đủ và phí thẩm định hồ sơ, Cục Quản lý Môi trường y tế, Bộ Y tế gửi cho cơ sở đăng ký Phiếu tiếp nhận hồ sơ theo Mẫu số 05 tại Phụ lục III ban hành kèm theo Nghị định số 91/2016/NĐ-CP.
Bước 3: Trong thời hạn 30 ngày, kể từ ngày ghi trên Phiếu tiếp nhận hồ sơ, Cục Quản lý Môi trường y tế, Bộ Y tế có trách nhiệm thông báo bằng văn bản cho cơ sở đăng ký lưu hành bổ sung về việc bổ sung, sửa đổi hồ sơ; đồng ý hoặc không đồng ý với nội dung đăng ký lưu hành bổ sung và nêu rõ lý do. 
Bước 4: Trường hợp Cục Quản lý Môi trường y tế, Bộ Y tế có văn bản yêu cầu sửa đổi, bổ sung hồ sơ, trong thời hạn 90 ngày kể từ ngày ghi trên văn bản, cơ sở đăng ký lưu hành bổ sung phải hoàn chỉnh hồ sơ, giải trình bằng văn bản và gửi đến Bộ Y tế. Ngày tiếp nhận hồ sơ bổ sung, sửa đổi được ghi trên Phiếu tiếp nhận hồ sơ. Quá thời hạn trên, hồ sơ đăng ký lưu hành bổ sung sẽ bị hủy bỏ.
Trường hợp cơ sở đăng ký không nộp hồ sơ đúng hạn vì lý do bất khả kháng như: thiên tai, thảm họa, dịch bệnh, hỏa hoạn,… thì được nộp hồ sơ muộn hơn theo quy định nhưng không quá 12 tháng kể từ ngày hết hạn bổ sung hồ sơ kèm theo văn bản giải trình.
Bước 5: Nếu không còn yêu cầu sửa đổi, bổ sung, Cục Quản lý Môi trường y tế phải thực hiện việc bổ sung Giấy chứng nhận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bản giấy kèm theo bản điện tử định dạng PDF(không áp dụng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Mau 05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ủy quyền thực hiện việc đăng ký lưu hành, trừ trường hợp quy định tại điểm a khoản 1 Điều 20 Nghị định số 91/2016/NĐ-CP;</w:t>
            </w:r>
          </w:p>
        </w:tc>
        <w:tc>
          <w:p/>
          <w:p>
            <w:pPr>
              <w:spacing w:after="0" w:before="0" w:lineRule="auto" w:line="276"/>
              <w:jc w:val="left"/>
            </w:pPr>
            <w:r>
              <w:rPr>
                <w:rFonts w:ascii="Times New Roman" w:hAnsi="Times New Roman" w:cs="Times New Roman" w:eastAsia="Times New Roman"/>
                <w:b w:val="false"/>
                <w:sz w:val="26"/>
              </w:rPr>
              <w:t>Phu luc VII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chuyển quyền sở hữu số đăng ký lưu hành của chủ sở hữu số đăng ký lưu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tiếp nhận quyền sở hữu số đăng ký lưu hành và cam kết sau khi tiếp nhận số đăng ký lưu hành sẽ tiếp tục đảm bảo việc kinh doanh chế phẩm đúng với hồ sơ đã được Cục Quản lý môi trường y tế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về tư cách pháp nhân của cơ sở đăng ký,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Mẫu nhãn mới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2026-05-09T03:15:16Z</dcterms:created>
  <dc:creator>Apache POI</dc:creator>
</cp:coreProperties>
</file>