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truyền thanh không dây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Tổ chức, cá nhân nộp hồ sơ theo cách thức và đến địa chỉ tiếp nhận hồ sơ như dưới đây</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lí hồ sơ</w:t>
      </w:r>
    </w:p>
    <w:p>
      <w:pPr>
        <w:spacing w:after="0" w:before="0" w:lineRule="auto" w:line="276"/>
        <w:jc w:val="both"/>
      </w:pPr>
      <w:r>
        <w:rPr>
          <w:rFonts w:ascii="Times New Roman" w:hAnsi="Times New Roman" w:cs="Times New Roman" w:eastAsia="Times New Roman"/>
          <w:b w:val="false"/>
          <w:sz w:val="26"/>
        </w:rPr>
        <w:t>Trung tâm Tần số vô tuyến điện khu vực thuộc Cục Tần số vô tuyến điện phụ trách địa bàn thụ lý hồ sơ cấp phép:</w:t>
      </w:r>
    </w:p>
    <w:p>
      <w:pPr>
        <w:spacing w:after="0" w:before="0" w:lineRule="auto" w:line="276"/>
        <w:jc w:val="both"/>
      </w:pPr>
      <w:r>
        <w:rPr>
          <w:rFonts w:ascii="Times New Roman" w:hAnsi="Times New Roman" w:cs="Times New Roman" w:eastAsia="Times New Roman"/>
          <w:b w:val="false"/>
          <w:sz w:val="26"/>
        </w:rPr>
        <w:t>+ Trung tâm Tần số vô tuyến điện khu vực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Nếu hồ sơ chưa đầy đủ, chưa hợp lệ thì trong thời hạn 05 ngày làm việc kể từ ngày nhận được hồ sơ, Trung tâm Tần số vô tuyến điện khu vực có trách nhiệm thông báo, hướng dẫn bằng văn bản cho tổ chức, cá nhân để bổ sung, hoàn thiện hồ sơ.</w:t>
      </w:r>
    </w:p>
    <w:p>
      <w:pPr>
        <w:spacing w:after="0" w:before="0" w:lineRule="auto" w:line="276"/>
        <w:jc w:val="both"/>
      </w:pPr>
      <w:r>
        <w:rPr>
          <w:rFonts w:ascii="Times New Roman" w:hAnsi="Times New Roman" w:cs="Times New Roman" w:eastAsia="Times New Roman"/>
          <w:b w:val="false"/>
          <w:sz w:val="26"/>
        </w:rPr>
        <w:t>+ Trường hợp từ chối cấp giấy phép, Trung tâm Tần số vô tuyến điện khu vực thông báo bằng văn bản nêu rõ lý do từ chối cho tổ chức, cá nhân trong thời hạn 20 ngày làm việc.</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4. Trả kết quả</w:t>
      </w:r>
    </w:p>
    <w:p>
      <w:pPr>
        <w:spacing w:after="0" w:before="0" w:lineRule="auto" w:line="276"/>
        <w:jc w:val="both"/>
      </w:pPr>
      <w:r>
        <w:rPr>
          <w:rFonts w:ascii="Times New Roman" w:hAnsi="Times New Roman" w:cs="Times New Roman" w:eastAsia="Times New Roman"/>
          <w:b w:val="false"/>
          <w:sz w:val="26"/>
        </w:rPr>
        <w:t>Tổ chức, cá nhân nộp phí theo thông báo; sau đó nhận giấy phép tại nơi thu phí và lệ phí; hoặc qua hệ thống bưu chính; hoặc nhận giấy phép điện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Trực tiếp tại các Trung tâm Tần số vô tuyến điện khu vực trên địa bàn hoặc các cơ quan phối hợp trên địa bàn do Cục Tần số vô tuyến điện ủy quyền.
20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1đ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Sở Thông tin và Truyền thông sở tại đối với việc truyền tải thông tin bằng đài truyền thanh không dây.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1đ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1đ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Tần số vô tuyến điện khu vực thuộc Cục Tần số vô tuyến điện. Xem địa chỉ tại đây: http://www.rfd.gov.vn/gioi-thieu/co-cau-to-chuc/pages/cac-trung-tam.aspx;  - Hoặc các cơ quan phối hợp trên địa bàn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giấy phép hoạt động báo chí hoặc được quyền phát lại chương trình phát thanh, truyền hình theo quy định của pháp luật.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toán, an ninh thông tin; kiểm tra, giải quyết nhiễu có hại và an toàn bức xạ vô tuyến điện.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2026-05-19T13:01:28Z</dcterms:created>
  <dc:creator>Apache POI</dc:creator>
</cp:coreProperties>
</file>