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Chứng chỉ hành nghề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w:t>
      </w:r>
    </w:p>
    <w:p>
      <w:pPr>
        <w:spacing w:after="0" w:before="0" w:lineRule="auto" w:line="276"/>
        <w:jc w:val="both"/>
      </w:pPr>
      <w:r>
        <w:rPr>
          <w:rFonts w:ascii="Times New Roman" w:hAnsi="Times New Roman" w:cs="Times New Roman" w:eastAsia="Times New Roman"/>
          <w:b w:val="false"/>
          <w:sz w:val="26"/>
        </w:rPr>
        <w:t>Hồ sơ yêu cầu có thể được nộp trực tiếp hoặc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 Bước 1: Xử lý hồ sơ</w:t>
      </w:r>
    </w:p>
    <w:p>
      <w:pPr>
        <w:spacing w:after="0" w:before="0" w:lineRule="auto" w:line="276"/>
        <w:jc w:val="both"/>
      </w:pPr>
      <w:r>
        <w:rPr>
          <w:rFonts w:ascii="Times New Roman" w:hAnsi="Times New Roman" w:cs="Times New Roman" w:eastAsia="Times New Roman"/>
          <w:b w:val="false"/>
          <w:sz w:val="26"/>
        </w:rPr>
        <w:t>+ Trường hợp hồ sơ hợp lệ, Cục Sở hữu trí tuệ ra quyết định cấp lại Chứng chỉ hành nghề và Cấp chứng chỉ hành nghề cho người nộp hồ sơ, ghi nhận vào Sổ đăng ký quốc gia về đại diện sở hữu công nghiệp và công bố trên Công báo sở hữu công nghiệp trong thời hạn 02 tháng kể từ ngày ký quyết định;</w:t>
      </w:r>
    </w:p>
    <w:p>
      <w:pPr>
        <w:spacing w:after="0" w:before="0" w:lineRule="auto" w:line="276"/>
        <w:jc w:val="both"/>
      </w:pPr>
      <w:r>
        <w:rPr>
          <w:rFonts w:ascii="Times New Roman" w:hAnsi="Times New Roman" w:cs="Times New Roman" w:eastAsia="Times New Roman"/>
          <w:b w:val="false"/>
          <w:sz w:val="26"/>
        </w:rPr>
        <w:t>+ Trường hợp hồ sơ có thiếu sót, Cục sở hữu trí tuệ ra thông báo các thiếu sót của hồ sơ và ấn định thời hạn 01 tháng để người nộp hồ sơ sửa chữa; hoặc ra thông báo từ chối cấp lại chứng chỉ hành nghề, nếu người nộp hồ sơ không sửa chữa thiếu sót/sửa chữa thiếu sót không đạt yêu cầu hoặc hồ sơ không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tháng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tháng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(02 bản);</w:t>
            </w:r>
          </w:p>
        </w:tc>
        <w:tc>
          <w:p/>
          <w:p>
            <w:pPr>
              <w:spacing w:after="0" w:before="0" w:lineRule="auto" w:line="276"/>
              <w:jc w:val="left"/>
            </w:pPr>
            <w:r>
              <w:rPr>
                <w:rFonts w:ascii="Times New Roman" w:hAnsi="Times New Roman" w:cs="Times New Roman" w:eastAsia="Times New Roman"/>
                <w:b w:val="false"/>
                <w:sz w:val="26"/>
              </w:rPr>
              <w:t>E.02 Yêu cầu cấp lại chứng chỉ hành nghề đại diện.doc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3x4;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chỉ cũ (trong trường hợp Chứng chỉ bị hỏng, rách,…)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dịch vụ đại diện sở hữu công nghiệp, Quyết định cấp lại Chứng chỉ hành nghề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công dân Việt Nam, có năng lực hành vi dân sự đầy đủ;
- Thường trú tại Việt Nam;
- Có bằng tốt nghiệp đại học;
- Đã trực tiếp làm công tác pháp luật về sở hữu công nghiệp liên tục từ 5 năm trở nên hoặc đã trực tiếp làm công tác thẩm định các loại đơn đăng ký sở hữu công nghiệp tại cơ quan quốc gia hoặc quốc tế về sở hữu công nghiệp liên tục từ 5 năm trở nên, hoặc tốt nghiệp khoá đào tạo pháp luật về sở hữu công nghiệp được cơ quan có thẩm quyền công nhận;
- Không phải là công chức, viên chức đang làm việc trong các cơ quan nhà nước có thẩm quyền về xác lập và bảo đảm thực thi quyền sở hữu công nghiệp;
- Đạt yêu cầu tại kỳ kiểm tra về nghiệp vụ đại diện sở hữu công nghiệp do cơ quan có thẩm quyền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chứng chỉ hành nghề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2026-05-12T16:33:00Z</dcterms:created>
  <dc:creator>Apache POI</dc:creator>
</cp:coreProperties>
</file>