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258/QĐ-BXD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Tàu biển hoạt động tuyến nội địa vào cảng biển và tàu biển Việt Nam đã nhập cảnh sau đó vào cảng biển khác của Việt Nam (bao gồm cả tàu quân sự, tàu công vụ, tàu ngầm, tàu lặn, kho chứa nổi, giàn di động, thủy phi cơ, phương tiện thủy nội địa mang cấp VR-SB và các phương tiện thủy khác không quy định tại các khoản 2, 3 Điều 72 Nghị định 58/2017/NĐ-CP)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Thông báo tàu đến cảng: Trước khi tàu đến vị trí dự kiến đến cảng, người làm thủ tục gửi cho Cảng vụ hàng hải/Cảng vụ đường thủy nội địa nơi tàu đến các thông tin dưới đây:
+ Thông báo tàu biển đến cảng biển (theo mẫu Bản khai chung): Chậm nhất 08 giờ trước khi tàu đến vị trí dự kiến đến cảng; trường hợp tàu thuyền di chuyển giữa các cảng biển Việt Nam hoặc khu vực hàng hải không quá 20 hải lý thì chậm nhất 02 giờ trước khi tàu thuyền đến vị trí đến cảng. Tàu biển, tàu quân sự, tàu biển có động cơ chạy bằng năng lượng hạt nhân, tàu vận chuyển chất phóng xạ, tàu biển đến theo lời mời của Chính phủ nước Cộng hòa xã hội chủ nghĩa Việt Nam thông báo chậm nhất 24 giờ trước khi tàu dự kiến vị trí dự kiến đến cảng. Chậm nhất 12 giờ kể từ khi tàu biển dự kiến đến khu neo đậu chờ quá cảnh.
- Xác báo tàu đến cảng:
+ Tàu biển đến vị trí dự kiến đến cảng sớm hoặc muộn hơn 02 giờ so với thời gian trong thông báo tàu đến cảng biển phải thực hiện xác báo cho Cảng vụ hàng hải/Cảng vụ đường thủy nội địa biết chính xác thời gian tàu đến vị trí dự kiến theo mẫu;
+ Trường hợp tàu biển có người ốm, người chết, người cứu vớt được trên biển hoặc có người trốn trên tàu, tàu biển phải thực hiện xác báo cho Cảng vụ hàng hải/Cảng vụ đường thủy nội địa biết chính xác thời gian tàu đến vị trí dự kiến, các thông tin về tên, tuổi, quốc tịch, tình trạng bệnh tật, lý do tử vong và các yêu cầu liên quan khác theo mẫu.
- Chậm nhất 02 giờ kể từ khi tàu đã vào neo đậu tại cầu cảng hoặc 04 giờ kể từ khi tàu đã vào neo đậu tại các vị trí khác trong vùng nước cảng biển theo Kế hoạch điều động, người làm thủ tục nộp hồ sơ để làm thủ tục cho tàu thuyền tại trụ sở chính hoặc Văn phòng đại diện Cảng vụ hàng hải/Cảng vụ đường thủy nội địa.</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Cảng vụ hàng hải/Cảng vụ đường thủy nội địa có trách nhiệm thông báo cho các tổ chức liên quan biết thông tin về việc tàu thuyền vào cảng biển và hoạt động trong vùng biển Việt Nam theo quy định để thực hiện thủ tục và phối hợp triển khai điều động, tiếp nhận tàu;
+ Cảng vụ hàng hải/Cảng vụ đường thủy nội địa xử lý, giải quyết hồ sơ đối với tàu thuyền, giấy chứng nhận khả năng chuyên môn của thuyền viên và là cơ quan quyết định cuối cùng cho tàu thuyền vào cảng biển;
+ Biên phòng cửa khẩu xử lý, giải quyết hồ sơ đối với thuyền viên, hành khách, người đi theo tàu, người trốn trên tàu và người lên, xuống tàu.
- Trên cơ sở thông báo, xác báo tàu đến cảng, chậm nhất 02 giờ trước khi tàu biển đến vị trí dự kiến đến cảng, Giám đốc Cảng vụ hàng hải/Cảng vụ đường thủy nội địa căn cứ điều kiện thực tế, thông số kỹ thuật của tàu, loại hàng, kế hoạch điều độ của cảng, kế hoạch dẫn tàu của tổ chức hoa tiêu và ý kiến của các cơ quan quản lý nhà nước để xem xét quyết định chấp thuận cho tàu vào cảng thông qua Kế hoạch điều động theo mẫu; trường hợp không chấp thuận cho tàu vào cảng phải thông báo cho người làm thủ tục và nêu rõ lý do.
- Chậm nhất 01 giờ kể từ khi người làm thủ tục đã nộp, xuất trình đủ các giấy tờ theo quy định, các cơ quan quản lý nhà nước xử lý, giải quyết thủ tục chuyên ngành và thông báo cho Cảng vụ hàng hải/Cảng vụ đường thủy nội địa biết kết quả và Cảng vụ hoàn thành thủ tục; trường hợp tàu biển chưa hoàn thành thủ tục phải thông báo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Giờ</w:t>
            </w:r>
          </w:p>
        </w:tc>
        <w:tc>
          <w:p/>
          <w:p>
            <w:pPr>
              <w:spacing w:after="0" w:before="0" w:lineRule="auto" w:line="276"/>
              <w:jc w:val="left"/>
            </w:pPr>
            <w:r>
              <w:rPr>
                <w:rFonts w:ascii="Times New Roman" w:hAnsi="Times New Roman" w:cs="Times New Roman" w:eastAsia="Times New Roman"/>
                <w:b w:val="false"/>
                <w:sz w:val="26"/>
              </w:rPr>
              <w:t xml:space="preserve">Phí : Thông tư số 261/2016/TT-BTC ngày 05/01/2016 của Bộ trưởng Bộ Tài chính quy định về phí, lệ phí hàng hải và biểu mức thu phí, lệ phí hàng hải </w:t>
            </w:r>
          </w:p>
          <w:p>
            <w:pPr>
              <w:spacing w:after="0" w:before="0" w:lineRule="auto" w:line="276"/>
              <w:jc w:val="left"/>
            </w:pPr>
            <w:r>
              <w:rPr>
                <w:rFonts w:ascii="Times New Roman" w:hAnsi="Times New Roman" w:cs="Times New Roman" w:eastAsia="Times New Roman"/>
                <w:b w:val="false"/>
                <w:sz w:val="26"/>
              </w:rPr>
              <w:t xml:space="preserve">Phí : Thông tư số 90/2019/TT-BTC ngày 31/12/2019 Thông tư sửa đổi, bổ sung một số điều của Thông tư số 261/2016/TT-BTC ngày 14 tháng 11 năm 2016 quy định về phí, lệ phí hàng hải và biểu mức thu phí, lệ phí hàng hải và Thông tư số 17/2017/TT-BTC ngày 28 tháng 02 năm 2017 hướng dẫn thu, nộp, quản lý và sử dụng phí, lệ phí hàng hải </w:t>
            </w:r>
          </w:p>
          <w:p>
            <w:pPr>
              <w:spacing w:after="0" w:before="0" w:lineRule="auto" w:line="276"/>
              <w:jc w:val="left"/>
            </w:pPr>
            <w:r>
              <w:rPr>
                <w:rFonts w:ascii="Times New Roman" w:hAnsi="Times New Roman" w:cs="Times New Roman" w:eastAsia="Times New Roman"/>
                <w:b w:val="false"/>
                <w:sz w:val="26"/>
              </w:rPr>
              <w:t xml:space="preserve">Phí : Thông tư số 74/2021/TT-BTC ngày 27/8/2021 sửa đổi, bổ sung một số điều của Thông tư số 261/2016/TT-BTC ngày 14 tháng 11 năm 2016 quy định về phí, lệ phí hàng hải và biểu mức thu phí, lệ phí hàng hải. </w:t>
            </w:r>
          </w:p>
          <w:p>
            <w:pPr>
              <w:spacing w:after="0" w:before="0" w:lineRule="auto" w:line="276"/>
              <w:jc w:val="left"/>
            </w:pPr>
            <w:r>
              <w:rPr>
                <w:rFonts w:ascii="Times New Roman" w:hAnsi="Times New Roman" w:cs="Times New Roman" w:eastAsia="Times New Roman"/>
                <w:b w:val="false"/>
                <w:sz w:val="26"/>
              </w:rPr>
              <w:t xml:space="preserve">Lệ phí : Lệ phí vào cảng: theo quy định tại Điều 16 Thông tư số 261/2016/TT-BTC ngày 14/11/2016 của Bộ trưởng Bộ Tài chính. </w:t>
            </w:r>
          </w:p>
        </w:tc>
        <w:tc>
          <w:p/>
          <w:p>
            <w:pPr>
              <w:spacing w:after="0" w:before="0" w:lineRule="auto" w:line="276"/>
              <w:jc w:val="left"/>
            </w:pPr>
            <w:r>
              <w:rPr>
                <w:rFonts w:ascii="Times New Roman" w:hAnsi="Times New Roman" w:cs="Times New Roman" w:eastAsia="Times New Roman"/>
                <w:b w:val="false"/>
                <w:sz w:val="26"/>
              </w:rPr>
              <w:t>- Chậm nhất 01 giờ, kể từ khi người làm thủ tục đã nộp, xuất trình đủ các giấy tờ theo quy định, các cơ quan quản lý nhà nước xử lý, giải quyết thủ tục chuyên ngành, thông báo cho Cảng vụ hàng hải/Cảng vụ đường thủy nội địa biết kết quả và Cảng vụ hoàn thành thủ tục.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Giờ</w:t>
            </w:r>
          </w:p>
        </w:tc>
        <w:tc>
          <w:p/>
          <w:p>
            <w:pPr>
              <w:spacing w:after="0" w:before="0" w:lineRule="auto" w:line="276"/>
              <w:jc w:val="left"/>
            </w:pPr>
            <w:r>
              <w:rPr>
                <w:rFonts w:ascii="Times New Roman" w:hAnsi="Times New Roman" w:cs="Times New Roman" w:eastAsia="Times New Roman"/>
                <w:b w:val="false"/>
                <w:sz w:val="26"/>
              </w:rPr>
              <w:t xml:space="preserve">Phí : Thông tư số 261/2016/TT-BTC ngày 05/01/2016 của Bộ trưởng Bộ Tài chính quy định về phí, lệ phí hàng hải và biểu mức thu phí, lệ phí hàng hải </w:t>
            </w:r>
          </w:p>
          <w:p>
            <w:pPr>
              <w:spacing w:after="0" w:before="0" w:lineRule="auto" w:line="276"/>
              <w:jc w:val="left"/>
            </w:pPr>
            <w:r>
              <w:rPr>
                <w:rFonts w:ascii="Times New Roman" w:hAnsi="Times New Roman" w:cs="Times New Roman" w:eastAsia="Times New Roman"/>
                <w:b w:val="false"/>
                <w:sz w:val="26"/>
              </w:rPr>
              <w:t xml:space="preserve">Phí : Thông tư số 90/2019/TT-BTC ngày 31/12/2019 Thông tư sửa đổi, bổ sung một số điều của Thông tư số 261/2016/TT-BTC ngày 14 tháng 11 năm 2016 quy định về phí, lệ phí hàng hải và biểu mức thu phí, lệ phí hàng hải và Thông tư số 17/2017/TT-BTC ngày 28 tháng 02 năm 2017 hướng dẫn thu, nộp, quản lý và sử dụng phí, lệ phí hàng hải </w:t>
            </w:r>
          </w:p>
          <w:p>
            <w:pPr>
              <w:spacing w:after="0" w:before="0" w:lineRule="auto" w:line="276"/>
              <w:jc w:val="left"/>
            </w:pPr>
            <w:r>
              <w:rPr>
                <w:rFonts w:ascii="Times New Roman" w:hAnsi="Times New Roman" w:cs="Times New Roman" w:eastAsia="Times New Roman"/>
                <w:b w:val="false"/>
                <w:sz w:val="26"/>
              </w:rPr>
              <w:t xml:space="preserve">Phí : Thông tư số 74/2021/TT-BTC ngày 27/8/2021 sửa đổi, bổ sung một số điều của Thông tư số 261/2016/TT-BTC ngày 14 tháng 11 năm 2016 quy định về phí, lệ phí hàng hải và biểu mức thu phí, lệ phí hàng hải. </w:t>
            </w:r>
          </w:p>
          <w:p>
            <w:pPr>
              <w:spacing w:after="0" w:before="0" w:lineRule="auto" w:line="276"/>
              <w:jc w:val="left"/>
            </w:pPr>
            <w:r>
              <w:rPr>
                <w:rFonts w:ascii="Times New Roman" w:hAnsi="Times New Roman" w:cs="Times New Roman" w:eastAsia="Times New Roman"/>
                <w:b w:val="false"/>
                <w:sz w:val="26"/>
              </w:rPr>
              <w:t xml:space="preserve">Lệ phí : Lệ phí vào cảng: theo quy định tại Điều 16 Thông tư số 261/2016/TT-BTC ngày 14/11/2016 của Bộ trưởng Bộ Tài chính. </w:t>
            </w:r>
          </w:p>
        </w:tc>
        <w:tc>
          <w:p/>
          <w:p>
            <w:pPr>
              <w:spacing w:after="0" w:before="0" w:lineRule="auto" w:line="276"/>
              <w:jc w:val="left"/>
            </w:pPr>
            <w:r>
              <w:rPr>
                <w:rFonts w:ascii="Times New Roman" w:hAnsi="Times New Roman" w:cs="Times New Roman" w:eastAsia="Times New Roman"/>
                <w:b w:val="false"/>
                <w:sz w:val="26"/>
              </w:rPr>
              <w:t>- Chậm nhất 01 giờ, kể từ khi người làm thủ tục đã nộp, xuất trình đủ các giấy tờ theo quy định, các cơ quan quản lý nhà nước xử lý, giải quyết thủ tục chuyên ngành, thông báo cho Cảng vụ hàng hải/Cảng vụ đường thủy nội địa biết kết quả và Cảng vụ hoàn thành thủ tục.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Giờ</w:t>
            </w:r>
          </w:p>
        </w:tc>
        <w:tc>
          <w:p/>
          <w:p>
            <w:pPr>
              <w:spacing w:after="0" w:before="0" w:lineRule="auto" w:line="276"/>
              <w:jc w:val="left"/>
            </w:pPr>
            <w:r>
              <w:rPr>
                <w:rFonts w:ascii="Times New Roman" w:hAnsi="Times New Roman" w:cs="Times New Roman" w:eastAsia="Times New Roman"/>
                <w:b w:val="false"/>
                <w:sz w:val="26"/>
              </w:rPr>
              <w:t xml:space="preserve">Phí : Thông tư số 261/2016/TT-BTC ngày 05/01/2016 của Bộ trưởng Bộ Tài chính quy định về phí, lệ phí hàng hải và biểu mức thu phí, lệ phí hàng hải </w:t>
            </w:r>
          </w:p>
          <w:p>
            <w:pPr>
              <w:spacing w:after="0" w:before="0" w:lineRule="auto" w:line="276"/>
              <w:jc w:val="left"/>
            </w:pPr>
            <w:r>
              <w:rPr>
                <w:rFonts w:ascii="Times New Roman" w:hAnsi="Times New Roman" w:cs="Times New Roman" w:eastAsia="Times New Roman"/>
                <w:b w:val="false"/>
                <w:sz w:val="26"/>
              </w:rPr>
              <w:t xml:space="preserve">Phí : Thông tư số 90/2019/TT-BTC ngày 31/12/2019 Thông tư sửa đổi, bổ sung một số điều của Thông tư số 261/2016/TT-BTC ngày 14 tháng 11 năm 2016 quy định về phí, lệ phí hàng hải và biểu mức thu phí, lệ phí hàng hải và Thông tư số 17/2017/TT-BTC ngày 28 tháng 02 năm 2017 hướng dẫn thu, nộp, quản lý và sử dụng phí, lệ phí hàng hải </w:t>
            </w:r>
          </w:p>
          <w:p>
            <w:pPr>
              <w:spacing w:after="0" w:before="0" w:lineRule="auto" w:line="276"/>
              <w:jc w:val="left"/>
            </w:pPr>
            <w:r>
              <w:rPr>
                <w:rFonts w:ascii="Times New Roman" w:hAnsi="Times New Roman" w:cs="Times New Roman" w:eastAsia="Times New Roman"/>
                <w:b w:val="false"/>
                <w:sz w:val="26"/>
              </w:rPr>
              <w:t xml:space="preserve">Phí : Thông tư số 74/2021/TT-BTC ngày 27/8/2021 sửa đổi, bổ sung một số điều của Thông tư số 261/2016/TT-BTC ngày 14 tháng 11 năm 2016 quy định về phí, lệ phí hàng hải và biểu mức thu phí, lệ phí hàng hải. </w:t>
            </w:r>
          </w:p>
          <w:p>
            <w:pPr>
              <w:spacing w:after="0" w:before="0" w:lineRule="auto" w:line="276"/>
              <w:jc w:val="left"/>
            </w:pPr>
            <w:r>
              <w:rPr>
                <w:rFonts w:ascii="Times New Roman" w:hAnsi="Times New Roman" w:cs="Times New Roman" w:eastAsia="Times New Roman"/>
                <w:b w:val="false"/>
                <w:sz w:val="26"/>
              </w:rPr>
              <w:t xml:space="preserve">Lệ phí : Lệ phí vào cảng: theo quy định tại Điều 16 Thông tư số 261/2016/TT-BTC ngày 14/11/2016 của Bộ trưởng Bộ Tài chính. </w:t>
            </w:r>
          </w:p>
        </w:tc>
        <w:tc>
          <w:p/>
          <w:p>
            <w:pPr>
              <w:spacing w:after="0" w:before="0" w:lineRule="auto" w:line="276"/>
              <w:jc w:val="left"/>
            </w:pPr>
            <w:r>
              <w:rPr>
                <w:rFonts w:ascii="Times New Roman" w:hAnsi="Times New Roman" w:cs="Times New Roman" w:eastAsia="Times New Roman"/>
                <w:b w:val="false"/>
                <w:sz w:val="26"/>
              </w:rPr>
              <w:t>- Chậm nhất 01 giờ, kể từ khi người làm thủ tục đã nộp, xuất trình đủ các giấy tờ theo quy định, các cơ quan quản lý nhà nước xử lý, giải quyết thủ tục chuyên ngành, thông báo cho Cảng vụ hàng hải/Cảng vụ đường thủy nội địa biết kết quả và Cảng vụ hoàn thành thủ tục.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Các giấy tờ gửi qua fax hoặc thư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tàu đến cảng (theo mẫu Bản khai chung);</w:t>
            </w:r>
          </w:p>
        </w:tc>
        <w:tc>
          <w:p/>
          <w:p>
            <w:pPr>
              <w:spacing w:after="0" w:before="0" w:lineRule="auto" w:line="276"/>
              <w:jc w:val="left"/>
            </w:pPr>
            <w:r>
              <w:rPr>
                <w:rFonts w:ascii="Times New Roman" w:hAnsi="Times New Roman" w:cs="Times New Roman" w:eastAsia="Times New Roman"/>
                <w:b w:val="false"/>
                <w:sz w:val="26"/>
              </w:rPr>
              <w:t>MauBankhaichung.docx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Xác báo tàu đến cảng theo mẫu (nếu có thay đổi thời gian đến theo quy định)</w:t>
            </w:r>
          </w:p>
        </w:tc>
        <w:tc>
          <w:p/>
          <w:p>
            <w:pPr>
              <w:spacing w:after="0" w:before="0" w:lineRule="auto" w:line="276"/>
              <w:jc w:val="left"/>
            </w:pPr>
            <w:r>
              <w:rPr>
                <w:rFonts w:ascii="Times New Roman" w:hAnsi="Times New Roman" w:cs="Times New Roman" w:eastAsia="Times New Roman"/>
                <w:b w:val="false"/>
                <w:sz w:val="26"/>
              </w:rPr>
              <w:t>MauXacbaotauencang.docx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Các giấy tờ phải nộp (bản chính), mỗi loại 01 bản,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Nộp cho Cảng vụ hàng hải/Cảng vụ đường thủy nội địa: Bản khai chung theo mẫu; Danh sách thuyền viên theo mẫu; Danh sách hành khách (nếu có) theo mẫu; Giấy phép rời cảng.</w:t>
            </w:r>
          </w:p>
        </w:tc>
        <w:tc>
          <w:p/>
          <w:p>
            <w:pPr>
              <w:spacing w:after="0" w:before="0" w:lineRule="auto" w:line="276"/>
              <w:jc w:val="left"/>
            </w:pPr>
            <w:r>
              <w:rPr>
                <w:rFonts w:ascii="Times New Roman" w:hAnsi="Times New Roman" w:cs="Times New Roman" w:eastAsia="Times New Roman"/>
                <w:b w:val="false"/>
                <w:sz w:val="26"/>
              </w:rPr>
              <w:t>MauBankhaichung.docx</w:t>
            </w:r>
          </w:p>
          <w:p>
            <w:pPr>
              <w:spacing w:after="0" w:before="0" w:lineRule="auto" w:line="276"/>
              <w:jc w:val="left"/>
            </w:pPr>
            <w:r>
              <w:rPr>
                <w:rFonts w:ascii="Times New Roman" w:hAnsi="Times New Roman" w:cs="Times New Roman" w:eastAsia="Times New Roman"/>
                <w:b w:val="false"/>
                <w:sz w:val="26"/>
              </w:rPr>
              <w:t>MauDanhsachthuyenvien.docx</w:t>
            </w:r>
          </w:p>
          <w:p>
            <w:pPr>
              <w:spacing w:after="0" w:before="0" w:lineRule="auto" w:line="276"/>
              <w:jc w:val="left"/>
            </w:pPr>
            <w:r>
              <w:rPr>
                <w:rFonts w:ascii="Times New Roman" w:hAnsi="Times New Roman" w:cs="Times New Roman" w:eastAsia="Times New Roman"/>
                <w:b w:val="false"/>
                <w:sz w:val="26"/>
              </w:rPr>
              <w:t>MauDanhsachhanhkhach.docx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Nộp cho Biên phòng cửa khẩu: Danh sách thuyền viên theo mẫu; Danh sách hành khách (nếu có) theo mẫu.</w:t>
            </w:r>
          </w:p>
        </w:tc>
        <w:tc>
          <w:p/>
          <w:p>
            <w:pPr>
              <w:spacing w:after="0" w:before="0" w:lineRule="auto" w:line="276"/>
              <w:jc w:val="left"/>
            </w:pPr>
            <w:r>
              <w:rPr>
                <w:rFonts w:ascii="Times New Roman" w:hAnsi="Times New Roman" w:cs="Times New Roman" w:eastAsia="Times New Roman"/>
                <w:b w:val="false"/>
                <w:sz w:val="26"/>
              </w:rPr>
              <w:t>MauDanhsachthuyenvien.docx</w:t>
            </w:r>
          </w:p>
          <w:p>
            <w:pPr>
              <w:spacing w:after="0" w:before="0" w:lineRule="auto" w:line="276"/>
              <w:jc w:val="left"/>
            </w:pPr>
            <w:r>
              <w:rPr>
                <w:rFonts w:ascii="Times New Roman" w:hAnsi="Times New Roman" w:cs="Times New Roman" w:eastAsia="Times New Roman"/>
                <w:b w:val="false"/>
                <w:sz w:val="26"/>
              </w:rPr>
              <w:t>MauDanhsachhanhkhach.docx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Các giấy tờ phải xuất trình Cảng vụ (bản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đăng ký tàu biển, các giấy chứng nhận về an toàn kỹ thuật của tàu theo quy định, Sổ thuyền viên, chứng chỉ chuyên môn của thuyền viên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Cảng vụ hàng hải, Biên phòng cửa khâu, Văn phòng đại diện Cảng vụ Hàng hải, Cảng vụ Đường thủy nội địa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Cảng vụ hàng hải, Văn phòng đại diện Cảng vụ Hàng hải, Cảng vụ Đường thủy nội địa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 hoạch điều động tàu thuyền.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58/2017/NĐ-CP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Bộ luật Hàng hải Việt Nam về quản lý hoạt động hàng hải</w:t>
            </w:r>
          </w:p>
        </w:tc>
        <w:tc>
          <w:p/>
          <w:p>
            <w:pPr>
              <w:spacing w:after="0" w:before="0" w:lineRule="auto" w:line="276"/>
              <w:jc w:val="left"/>
            </w:pPr>
            <w:r>
              <w:rPr>
                <w:rFonts w:ascii="Times New Roman" w:hAnsi="Times New Roman" w:cs="Times New Roman" w:eastAsia="Times New Roman"/>
                <w:b w:val="false"/>
                <w:sz w:val="26"/>
              </w:rPr>
              <w:t>10-05-2017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261/2016/TT-BTC</w:t>
            </w:r>
          </w:p>
        </w:tc>
        <w:tc>
          <w:p/>
          <w:p>
            <w:pPr>
              <w:spacing w:after="0" w:before="0" w:lineRule="auto" w:line="276"/>
              <w:jc w:val="left"/>
            </w:pPr>
            <w:r>
              <w:rPr>
                <w:rFonts w:ascii="Times New Roman" w:hAnsi="Times New Roman" w:cs="Times New Roman" w:eastAsia="Times New Roman"/>
                <w:b w:val="false"/>
                <w:sz w:val="26"/>
              </w:rPr>
              <w:t>Quy định về phí, lệ phí hàng hải và biểu mức thu phí, lệ phí hàng hải</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Bộ luật 95/2015/QH13</w:t>
            </w:r>
          </w:p>
        </w:tc>
        <w:tc>
          <w:p/>
          <w:p>
            <w:pPr>
              <w:spacing w:after="0" w:before="0" w:lineRule="auto" w:line="276"/>
              <w:jc w:val="left"/>
            </w:pPr>
            <w:r>
              <w:rPr>
                <w:rFonts w:ascii="Times New Roman" w:hAnsi="Times New Roman" w:cs="Times New Roman" w:eastAsia="Times New Roman"/>
                <w:b w:val="false"/>
                <w:sz w:val="26"/>
              </w:rPr>
              <w:t>Hàng hải</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74/2023/NĐ-CP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liên quan đến phân cấp giải quyết thủ tục hành chính trong lĩnh vực hàng hải (có hiệu lực từ ngày 11/10/2024)</w:t>
            </w:r>
          </w:p>
        </w:tc>
        <w:tc>
          <w:p/>
          <w:p>
            <w:pPr>
              <w:spacing w:after="0" w:before="0" w:lineRule="auto" w:line="276"/>
              <w:jc w:val="left"/>
            </w:pPr>
            <w:r>
              <w:rPr>
                <w:rFonts w:ascii="Times New Roman" w:hAnsi="Times New Roman" w:cs="Times New Roman" w:eastAsia="Times New Roman"/>
                <w:b w:val="false"/>
                <w:sz w:val="26"/>
              </w:rPr>
              <w:t>11-10-2023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90/2019/TT-BTC</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261/2016/TT-BTC ngày 14 tháng 11 năm 2016 quy định về phí, lệ phí hàng hải và biểu mức thu phí, lệ phí hàng hải và Thông tư số 17/2017/TT-BTC ngày 28 tháng 02 năm 2017 hướng dẫn thu, nộp, quản lý và sử dụng phí, lệ phí hàng hải</w:t>
            </w:r>
          </w:p>
        </w:tc>
        <w:tc>
          <w:p/>
          <w:p>
            <w:pPr>
              <w:spacing w:after="0" w:before="0" w:lineRule="auto" w:line="276"/>
              <w:jc w:val="left"/>
            </w:pPr>
            <w:r>
              <w:rPr>
                <w:rFonts w:ascii="Times New Roman" w:hAnsi="Times New Roman" w:cs="Times New Roman" w:eastAsia="Times New Roman"/>
                <w:b w:val="false"/>
                <w:sz w:val="26"/>
              </w:rPr>
              <w:t>31-12-2019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74/2021/TT-BTC</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261/2016/TT-BTC ngày 14 tháng 11 năm 2016 quy định về phí, lệ phí hàng hải và biểu mức thu phí, lệ phí hàng hải</w:t>
            </w:r>
          </w:p>
        </w:tc>
        <w:tc>
          <w:p/>
          <w:p>
            <w:pPr>
              <w:spacing w:after="0" w:before="0" w:lineRule="auto" w:line="276"/>
              <w:jc w:val="left"/>
            </w:pPr>
            <w:r>
              <w:rPr>
                <w:rFonts w:ascii="Times New Roman" w:hAnsi="Times New Roman" w:cs="Times New Roman" w:eastAsia="Times New Roman"/>
                <w:b w:val="false"/>
                <w:sz w:val="26"/>
              </w:rPr>
              <w:t>27-08-2021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33/2025/NĐ-CP</w:t>
            </w:r>
          </w:p>
        </w:tc>
        <w:tc>
          <w:p/>
          <w:p>
            <w:pPr>
              <w:spacing w:after="0" w:before="0" w:lineRule="auto" w:line="276"/>
              <w:jc w:val="left"/>
            </w:pPr>
            <w:r>
              <w:rPr>
                <w:rFonts w:ascii="Times New Roman" w:hAnsi="Times New Roman" w:cs="Times New Roman" w:eastAsia="Times New Roman"/>
                <w:b w:val="false"/>
                <w:sz w:val="26"/>
              </w:rPr>
              <w:t>Quy định chức năng, nhiệm vụ, quyền hạn và cơ cấu tổ chức của Bộ Xây dựng.</w:t>
            </w:r>
          </w:p>
        </w:tc>
        <w:tc>
          <w:p/>
          <w:p>
            <w:pPr>
              <w:spacing w:after="0" w:before="0" w:lineRule="auto" w:line="276"/>
              <w:jc w:val="left"/>
            </w:pPr>
            <w:r>
              <w:rPr>
                <w:rFonts w:ascii="Times New Roman" w:hAnsi="Times New Roman" w:cs="Times New Roman" w:eastAsia="Times New Roman"/>
                <w:b w:val="false"/>
                <w:sz w:val="26"/>
              </w:rPr>
              <w:t>25-02-2025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34/2025/NĐ-CP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trong lĩnh vực hàng hải</w:t>
            </w:r>
          </w:p>
        </w:tc>
        <w:tc>
          <w:p/>
          <w:p>
            <w:pPr>
              <w:spacing w:after="0" w:before="0" w:lineRule="auto" w:line="276"/>
              <w:jc w:val="left"/>
            </w:pPr>
            <w:r>
              <w:rPr>
                <w:rFonts w:ascii="Times New Roman" w:hAnsi="Times New Roman" w:cs="Times New Roman" w:eastAsia="Times New Roman"/>
                <w:b w:val="false"/>
                <w:sz w:val="26"/>
              </w:rPr>
              <w:t>25-02-2025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Tất cả các loại tàu thuyền chỉ được phép vào cảng biển khi có đủ điều kiện an toàn hàng hải, an ninh hàng hải, phòng ngừa ô nhiễm môi trường và các điều kiện khác theo quy định của pháp luật.
- Người làm thủ tục, các cơ quan quản lý nhà nước thực hiện nộp, thu phí, lệ phí làm thủ tục và xác nhận việc nộp phí, lệ phí bằng phương thức điện tử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2026-05-23T16:28:51Z</dcterms:created>
  <dc:creator>Apache POI</dc:creator>
</cp:coreProperties>
</file>