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2.001616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77/QĐ-BVHTTDL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lại giấy phép kinh doanh dịch vụ lữ hành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Du lịch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gửi đơn đề nghị cấp lại giấy phép kinh doanh dịch vụ lữ hành nội địa đến Sở Du lịch/Sở Văn hóa, Thể thao và Du lịch trong trường hợp giấy phép kinh doanh dịch vụ lữ hành bị mất hoặc bị hư hỏng;
</w:t>
      </w:r>
    </w:p>
    <w:p>
      <w:pPr>
        <w:spacing w:after="0" w:before="0" w:lineRule="auto" w:line="276"/>
        <w:jc w:val="both"/>
      </w:pPr>
      <w:r>
        <w:rPr>
          <w:rFonts w:ascii="Times New Roman" w:hAnsi="Times New Roman" w:cs="Times New Roman" w:eastAsia="Times New Roman"/>
          <w:b w:val="false"/>
          <w:sz w:val="26"/>
        </w:rPr>
        <w:t>- Trong thời hạn 05 ngày làm việc kể từ ngày nhận được đơn đề nghị của doanh nghiệp, Sở Du lịch/Sở Văn hóa, Thể thao và Du lịch có trách nhiệm cấp lại giấy phép kinh doanh dịch vụ lữ hành nội địa cho doanh nghiệp; trường hợp từ chối, phải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750.000 Đồng</w:t>
              <w:t xml:space="preserve"> (Áp dụng mức giảm theo Thông tư số 64/2025/TT-BTC ngày 30 tháng 6 năm 2025 của Bộ trưởng Bộ Tài chính đến hết ngày 31/12/2026)</w:t>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750.000 Đồng</w:t>
              <w:t xml:space="preserve"> (Áp dụng mức giảm theo Thông tư số 64/2025/TT-BTC ngày 30 tháng 6 năm 2025 của Bộ trưởng Bộ Tài chính đến hết ngày 31/12/2026)</w:t>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750.000 Đồng</w:t>
              <w:t xml:space="preserve"> (Áp dụng mức giảm theo Thông tư số 64/2025/TT-BTC ngày 30 tháng 6 năm 2025 của Bộ trưởng Bộ Tài chính đến hết ngày 31/12/2026)</w:t>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Giấy phép kinh doanh dịch vụ lữ hành nội địa (theo Mẫu số 02 Phụ lục II ban hành kèm theo Thông tư số 04/2024/TT-BVHTTDL ngày 26 tháng 6 năm 2024).</w:t>
            </w:r>
          </w:p>
        </w:tc>
        <w:tc>
          <w:p/>
          <w:p>
            <w:pPr>
              <w:spacing w:after="0" w:before="0" w:lineRule="auto" w:line="276"/>
              <w:jc w:val="left"/>
            </w:pPr>
            <w:r>
              <w:rPr>
                <w:rFonts w:ascii="Times New Roman" w:hAnsi="Times New Roman" w:cs="Times New Roman" w:eastAsia="Times New Roman"/>
                <w:b w:val="false"/>
                <w:sz w:val="26"/>
              </w:rPr>
              <w:t>Cac mau don.docx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 Sở Du lịch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kinh doanh dịch vụ lữ hành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09/2017/QH1409/2017/QH14 </w:t>
            </w:r>
          </w:p>
        </w:tc>
        <w:tc>
          <w:p/>
          <w:p>
            <w:pPr>
              <w:spacing w:after="0" w:before="0" w:lineRule="auto" w:line="276"/>
              <w:jc w:val="left"/>
            </w:pPr>
            <w:r>
              <w:rPr>
                <w:rFonts w:ascii="Times New Roman" w:hAnsi="Times New Roman" w:cs="Times New Roman" w:eastAsia="Times New Roman"/>
                <w:b w:val="false"/>
                <w:sz w:val="26"/>
              </w:rPr>
              <w:t>Du lịch</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06/2017/TT-BVHTTDL</w:t>
            </w:r>
          </w:p>
        </w:tc>
        <w:tc>
          <w:p/>
          <w:p>
            <w:pPr>
              <w:spacing w:after="0" w:before="0" w:lineRule="auto" w:line="276"/>
              <w:jc w:val="left"/>
            </w:pPr>
            <w:r>
              <w:rPr>
                <w:rFonts w:ascii="Times New Roman" w:hAnsi="Times New Roman" w:cs="Times New Roman" w:eastAsia="Times New Roman"/>
                <w:b w:val="false"/>
                <w:sz w:val="26"/>
              </w:rPr>
              <w:t>Thông tư 06/2017/TT-BVHTTDL</w:t>
            </w:r>
          </w:p>
        </w:tc>
        <w:tc>
          <w:p/>
          <w:p>
            <w:pPr>
              <w:spacing w:after="0" w:before="0" w:lineRule="auto" w:line="276"/>
              <w:jc w:val="left"/>
            </w:pPr>
            <w:r>
              <w:rPr>
                <w:rFonts w:ascii="Times New Roman" w:hAnsi="Times New Roman" w:cs="Times New Roman" w:eastAsia="Times New Roman"/>
                <w:b w:val="false"/>
                <w:sz w:val="26"/>
              </w:rPr>
              <w:t>15-12-2017</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168/2017/NĐ-CP</w:t>
            </w:r>
          </w:p>
        </w:tc>
        <w:tc>
          <w:p/>
          <w:p>
            <w:pPr>
              <w:spacing w:after="0" w:before="0" w:lineRule="auto" w:line="276"/>
              <w:jc w:val="left"/>
            </w:pPr>
            <w:r>
              <w:rPr>
                <w:rFonts w:ascii="Times New Roman" w:hAnsi="Times New Roman" w:cs="Times New Roman" w:eastAsia="Times New Roman"/>
                <w:b w:val="false"/>
                <w:sz w:val="26"/>
              </w:rPr>
              <w:t>Nghị định số 168/2017/NĐ-CP ngày 31/12/2017 của Chính phủ quy định chi tiết một số điều của Luật Du lịch</w:t>
            </w:r>
          </w:p>
        </w:tc>
        <w:tc>
          <w:p/>
          <w:p>
            <w:pPr>
              <w:spacing w:after="0" w:before="0" w:lineRule="auto" w:line="276"/>
              <w:jc w:val="left"/>
            </w:pPr>
            <w:r>
              <w:rPr>
                <w:rFonts w:ascii="Times New Roman" w:hAnsi="Times New Roman" w:cs="Times New Roman" w:eastAsia="Times New Roman"/>
                <w:b w:val="false"/>
                <w:sz w:val="26"/>
              </w:rPr>
              <w:t>31-12-2017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33/2018/TT-BTC</w:t>
            </w:r>
          </w:p>
        </w:tc>
        <w:tc>
          <w:p/>
          <w:p>
            <w:pPr>
              <w:spacing w:after="0" w:before="0" w:lineRule="auto" w:line="276"/>
              <w:jc w:val="left"/>
            </w:pPr>
            <w:r>
              <w:rPr>
                <w:rFonts w:ascii="Times New Roman" w:hAnsi="Times New Roman" w:cs="Times New Roman" w:eastAsia="Times New Roman"/>
                <w:b w:val="false"/>
                <w:sz w:val="26"/>
              </w:rPr>
              <w:t>Thông tư 33/2018/TT-BTC</w:t>
            </w:r>
          </w:p>
        </w:tc>
        <w:tc>
          <w:p/>
          <w:p>
            <w:pPr>
              <w:spacing w:after="0" w:before="0" w:lineRule="auto" w:line="276"/>
              <w:jc w:val="left"/>
            </w:pPr>
            <w:r>
              <w:rPr>
                <w:rFonts w:ascii="Times New Roman" w:hAnsi="Times New Roman" w:cs="Times New Roman" w:eastAsia="Times New Roman"/>
                <w:b w:val="false"/>
                <w:sz w:val="26"/>
              </w:rPr>
              <w:t>30-03-2018</w:t>
            </w:r>
          </w:p>
        </w:tc>
        <w:tc>
          <w:p/>
        </w:tc>
      </w:tr>
      <w:tr>
        <w:tc>
          <w:p/>
          <w:p>
            <w:pPr>
              <w:spacing w:after="0" w:before="0" w:lineRule="auto" w:line="276"/>
              <w:jc w:val="left"/>
            </w:pPr>
            <w:r>
              <w:rPr>
                <w:rFonts w:ascii="Times New Roman" w:hAnsi="Times New Roman" w:cs="Times New Roman" w:eastAsia="Times New Roman"/>
                <w:b w:val="false"/>
                <w:sz w:val="26"/>
              </w:rPr>
              <w:t>35/2020/TT-BTC</w:t>
            </w:r>
          </w:p>
        </w:tc>
        <w:tc>
          <w:p/>
          <w:p>
            <w:pPr>
              <w:spacing w:after="0" w:before="0" w:lineRule="auto" w:line="276"/>
              <w:jc w:val="left"/>
            </w:pPr>
            <w:r>
              <w:rPr>
                <w:rFonts w:ascii="Times New Roman" w:hAnsi="Times New Roman" w:cs="Times New Roman" w:eastAsia="Times New Roman"/>
                <w:b w:val="false"/>
                <w:sz w:val="26"/>
              </w:rPr>
              <w:t>Thông tư 35/2020/TT-BTC</w:t>
            </w:r>
          </w:p>
        </w:tc>
        <w:tc>
          <w:p/>
          <w:p>
            <w:pPr>
              <w:spacing w:after="0" w:before="0" w:lineRule="auto" w:line="276"/>
              <w:jc w:val="left"/>
            </w:pPr>
            <w:r>
              <w:rPr>
                <w:rFonts w:ascii="Times New Roman" w:hAnsi="Times New Roman" w:cs="Times New Roman" w:eastAsia="Times New Roman"/>
                <w:b w:val="false"/>
                <w:sz w:val="26"/>
              </w:rPr>
              <w:t>05-05-2020</w:t>
            </w:r>
          </w:p>
        </w:tc>
        <w:tc>
          <w:p/>
        </w:tc>
      </w:tr>
      <w:tr>
        <w:tc>
          <w:p/>
          <w:p>
            <w:pPr>
              <w:spacing w:after="0" w:before="0" w:lineRule="auto" w:line="276"/>
              <w:jc w:val="left"/>
            </w:pPr>
            <w:r>
              <w:rPr>
                <w:rFonts w:ascii="Times New Roman" w:hAnsi="Times New Roman" w:cs="Times New Roman" w:eastAsia="Times New Roman"/>
                <w:b w:val="false"/>
                <w:sz w:val="26"/>
              </w:rPr>
              <w:t>04/2024/TT-BVHTTDL</w:t>
            </w:r>
          </w:p>
        </w:tc>
        <w:tc>
          <w:p/>
          <w:p>
            <w:pPr>
              <w:spacing w:after="0" w:before="0" w:lineRule="auto" w:line="276"/>
              <w:jc w:val="left"/>
            </w:pPr>
            <w:r>
              <w:rPr>
                <w:rFonts w:ascii="Times New Roman" w:hAnsi="Times New Roman" w:cs="Times New Roman" w:eastAsia="Times New Roman"/>
                <w:b w:val="false"/>
                <w:sz w:val="26"/>
              </w:rPr>
              <w:t>Thông tư của Bộ trưởng Bộ VHTTDL</w:t>
            </w:r>
          </w:p>
        </w:tc>
        <w:tc>
          <w:p/>
          <w:p>
            <w:pPr>
              <w:spacing w:after="0" w:before="0" w:lineRule="auto" w:line="276"/>
              <w:jc w:val="left"/>
            </w:pPr>
            <w:r>
              <w:rPr>
                <w:rFonts w:ascii="Times New Roman" w:hAnsi="Times New Roman" w:cs="Times New Roman" w:eastAsia="Times New Roman"/>
                <w:b w:val="false"/>
                <w:sz w:val="26"/>
              </w:rPr>
              <w:t>26-06-2024</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Là doanh nghiệp được thành lập theo quy định của pháp luật về doanh nghiệp;
(2) Ký quỹ kinh doanh dịch vụ lữ hành nội địa tại ngân hàng thương mại, ngân hàng hợp tác xã hoặc chi nhánh ngân hàng nước ngoài thành lập và hoạt động tại Việt Nam: 100.000.000đ (Một trăm triệu đồng);
(3) Người phụ trách kinh doanh dịch vụ lữ hành phải tốt nghiệp trung cấp trở lên chuyên ngành về lữ hành; trường hợp tốt nghiệp trung cấp trở lên chuyên ngành khác phải có chứng chỉ nghiệp vụ điều hành du lịch nội địa. 
- Người phụ trách kinh doanh dịch vụ lữ hành là người giữ một trong các chức danh sau: chủ tịch hội đồng quản trị; chủ tịch hội đồng thành viên; chủ tịch công ty; chủ doanh nghiệp tư nhân; tổng giám đốc; giám đốc hoặc phó giám đốc; trưởng bộ phận kinh doanh dịch vụ lữ hành.
- Chuyên ngành về lữ hành được thể hiện trên bằng tốt nghiệp của một trong các ngành, nghề, chuyên ngành sau đây:
(3.1) Quản trị dịch vụ du lịch và lữ hành;
(3.2) Quản trị lữ hành;
(3.3) Điều hành tour du lịch;
(3.4) Marketing du lịch;
(3.5) Du lịch;
(3.6) Du lịch lữ hành;
(3.7) Quản lý và kinh doanh du lịch;
(3.8) Quản trị du lịch MICE;
(3.9) Đại lý lữ hành; 
(3.10) Hướng dẫn du lịch;
(3.11) Ngành, nghề, chuyên ngành có thể hiện một trong các cụm từ “du lịch”, “lữ hành”, “hướng dẫn du lịch” do cơ sở giáo dục ở Việt Nam đào tạo và cấp bằng tốt nghiệp trước thời điểm Thông tư số 06/2017/TT-BVHTTDL có hiệu lực từ ngày 01 tháng 02 năm 2018;
(3.12) Ngành, nghề, chuyên ngành có thể hiện một trong các cụm từ “du lịch”, “lữ hành”, “hướng dẫn du lịch” do cơ sở đào tạo nước ngoài đào tạo và cấp bằng tốt nghiệp. 
Trường hợp bằng tốt nghiệp không thể hiện các ngành, nghề, chuyên ngành quy định tại điểm (3.11) và (3.12) thì bổ sung bảng điểm tốt nghiệp hoặc phụ lục văn bằng thể hiện ngành, nghề, chuyên ngành, trong đó có một trong các cụm từ “du lịch”, “lữ hành”, “hướng dẫn du lịch”.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2026-05-19T16:25:52Z</dcterms:created>
  <dc:creator>Apache POI</dc:creator>
</cp:coreProperties>
</file>