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đổi giấy phép kinh doanh dịch vụ lữ hành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nộp hồ sơ đề nghị cấp đổi giấy phép kinh doanh dịch vụ lữ hành nội địa đến Sở Du lịch/Sở Văn hóa, Thể thao và Du lịch trong trường hợp thay đổi Giấy chứng nhận đăng ký doanh nghiệp.</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được hồ sơ hợp lệ, Sở Du lịch/Sở Văn hóa, Thể thao và Du lịch có trách nhiệm cấp đổi giấy phép kinh doanh dịch vụ lữ hành cho doanh nghiệp; trường hợp từ chối,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(Áp dụng mức giảm theo Thông tư số 64/2025/TT-BTC ngày 30 tháng 6 năm 2025 của Bộ trưởng Bộ Tài chính đến hết ngày 31/12/2026)</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(Áp dụng mức giảm theo Thông tư số 64/2025/TT-BTC ngày 30 tháng 6 năm 2025 của Bộ trưởng Bộ Tài chính đến hết ngày 31/12/2026)</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(Áp dụng mức giảm theo Thông tư số 64/2025/TT-BTC ngày 30 tháng 6 năm 2025 của Bộ trưởng Bộ Tài chính đến hết ngày 31/12/2026)</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phép kinh doanh dịch vụ lữ hành nội địa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đổi Giấy phép kinh doanh dịch vụ lữ hành nội địa (theo Mẫu số 02 Phụ lục II ban hành kèm theo Thông tư số 04/2024/TT-BVHTTDL ngày 26 tháng 6 năm 2024);</w:t>
            </w:r>
          </w:p>
        </w:tc>
        <w:tc>
          <w:p/>
          <w:p>
            <w:pPr>
              <w:spacing w:after="0" w:before="0" w:lineRule="auto" w:line="276"/>
              <w:jc w:val="left"/>
            </w:pPr>
            <w:r>
              <w:rPr>
                <w:rFonts w:ascii="Times New Roman" w:hAnsi="Times New Roman" w:cs="Times New Roman" w:eastAsia="Times New Roman"/>
                <w:b w:val="false"/>
                <w:sz w:val="26"/>
              </w:rPr>
              <w:t>Cac mau 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về giấy chứng nhận đăng ký doanh nghiệp được khai thác từ Cơ sở dữ liệu quốc gia về đăng ký doanh nghiệp, không yêu cầu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dịch vụ lữ hành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09/2017/QH1409/2017/QH14 </w:t>
            </w:r>
          </w:p>
        </w:tc>
        <w:tc>
          <w:p/>
          <w:p>
            <w:pPr>
              <w:spacing w:after="0" w:before="0" w:lineRule="auto" w:line="276"/>
              <w:jc w:val="left"/>
            </w:pPr>
            <w:r>
              <w:rPr>
                <w:rFonts w:ascii="Times New Roman" w:hAnsi="Times New Roman" w:cs="Times New Roman" w:eastAsia="Times New Roman"/>
                <w:b w:val="false"/>
                <w:sz w:val="26"/>
              </w:rPr>
              <w:t>Du lịch</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06/2017/TT-BVHTTDL</w:t>
            </w:r>
          </w:p>
        </w:tc>
        <w:tc>
          <w:p/>
          <w:p>
            <w:pPr>
              <w:spacing w:after="0" w:before="0" w:lineRule="auto" w:line="276"/>
              <w:jc w:val="left"/>
            </w:pPr>
            <w:r>
              <w:rPr>
                <w:rFonts w:ascii="Times New Roman" w:hAnsi="Times New Roman" w:cs="Times New Roman" w:eastAsia="Times New Roman"/>
                <w:b w:val="false"/>
                <w:sz w:val="26"/>
              </w:rPr>
              <w:t>Thông tư 06/2017/TT-BVHTTDL</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168/2017/NĐ-CP</w:t>
            </w:r>
          </w:p>
        </w:tc>
        <w:tc>
          <w:p/>
          <w:p>
            <w:pPr>
              <w:spacing w:after="0" w:before="0" w:lineRule="auto" w:line="276"/>
              <w:jc w:val="left"/>
            </w:pPr>
            <w:r>
              <w:rPr>
                <w:rFonts w:ascii="Times New Roman" w:hAnsi="Times New Roman" w:cs="Times New Roman" w:eastAsia="Times New Roman"/>
                <w:b w:val="false"/>
                <w:sz w:val="26"/>
              </w:rPr>
              <w:t>Nghị định số 168/2017/NĐ-CP ngày 31/12/2017 của Chính phủ quy định chi tiết một số điều của Luật Du lịch</w:t>
            </w:r>
          </w:p>
        </w:tc>
        <w:tc>
          <w:p/>
          <w:p>
            <w:pPr>
              <w:spacing w:after="0" w:before="0" w:lineRule="auto" w:line="276"/>
              <w:jc w:val="left"/>
            </w:pPr>
            <w:r>
              <w:rPr>
                <w:rFonts w:ascii="Times New Roman" w:hAnsi="Times New Roman" w:cs="Times New Roman" w:eastAsia="Times New Roman"/>
                <w:b w:val="false"/>
                <w:sz w:val="26"/>
              </w:rPr>
              <w:t>31-12-2017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94/2021/NĐ-CP</w:t>
            </w:r>
          </w:p>
        </w:tc>
        <w:tc>
          <w:p/>
          <w:p>
            <w:pPr>
              <w:spacing w:after="0" w:before="0" w:lineRule="auto" w:line="276"/>
              <w:jc w:val="left"/>
            </w:pPr>
            <w:r>
              <w:rPr>
                <w:rFonts w:ascii="Times New Roman" w:hAnsi="Times New Roman" w:cs="Times New Roman" w:eastAsia="Times New Roman"/>
                <w:b w:val="false"/>
                <w:sz w:val="26"/>
              </w:rPr>
              <w:t>Nghị định 94/2021/NĐ-CP</w:t>
            </w:r>
          </w:p>
        </w:tc>
        <w:tc>
          <w:p/>
          <w:p>
            <w:pPr>
              <w:spacing w:after="0" w:before="0" w:lineRule="auto" w:line="276"/>
              <w:jc w:val="left"/>
            </w:pPr>
            <w:r>
              <w:rPr>
                <w:rFonts w:ascii="Times New Roman" w:hAnsi="Times New Roman" w:cs="Times New Roman" w:eastAsia="Times New Roman"/>
                <w:b w:val="false"/>
                <w:sz w:val="26"/>
              </w:rPr>
              <w:t>28-10-2021</w:t>
            </w:r>
          </w:p>
        </w:tc>
        <w:tc>
          <w:p/>
        </w:tc>
      </w:tr>
      <w:tr>
        <w:tc>
          <w:p/>
          <w:p>
            <w:pPr>
              <w:spacing w:after="0" w:before="0" w:lineRule="auto" w:line="276"/>
              <w:jc w:val="left"/>
            </w:pPr>
            <w:r>
              <w:rPr>
                <w:rFonts w:ascii="Times New Roman" w:hAnsi="Times New Roman" w:cs="Times New Roman" w:eastAsia="Times New Roman"/>
                <w:b w:val="false"/>
                <w:sz w:val="26"/>
              </w:rPr>
              <w:t>04/2024/TT-BVHTTDL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w:t>
            </w:r>
          </w:p>
        </w:tc>
        <w:tc>
          <w:p/>
          <w:p>
            <w:pPr>
              <w:spacing w:after="0" w:before="0" w:lineRule="auto" w:line="276"/>
              <w:jc w:val="left"/>
            </w:pPr>
            <w:r>
              <w:rPr>
                <w:rFonts w:ascii="Times New Roman" w:hAnsi="Times New Roman" w:cs="Times New Roman" w:eastAsia="Times New Roman"/>
                <w:b w:val="false"/>
                <w:sz w:val="26"/>
              </w:rPr>
              <w:t>26-06-2024</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Là doanh nghiệp được thành lập theo quy định của pháp luật về doanh nghiệp;
(2) Ký quỹ kinh doanh dịch vụ lữ hành nội địa tại ngân hàng thương mại, ngân hàng hợp tác xã hoặc chi nhánh ngân hàng nước ngoài thành lập và hoạt động tại Việt Nam: 100.000.000đ (Một trăm triệu đồng);
(3) Người phụ trách kinh doanh dịch vụ lữ hành phải tốt nghiệp trung cấp trở lên chuyên ngành về lữ hành; trường hợp tốt nghiệp trung cấp trở lên chuyên ngành khác phải có chứng chỉ nghiệp vụ điều hành du lịch nội địa. 
- Người phụ trách kinh doanh dịch vụ lữ hành là người giữ một trong các chức danh sau: chủ tịch hội đồng quản trị; chủ tịch hội đồng thành viên; chủ tịch công ty; chủ doanh nghiệp tư nhân; tổng giám đốc; giám đốc hoặc phó giám đốc; trưởng bộ phận kinh doanh dịch vụ lữ hành.
- Chuyên ngành về lữ hành được thể hiện trên bằng tốt nghiệp của một trong các ngành, nghề, chuyên ngành sau đây:
(3.1) Quản trị dịch vụ du lịch và lữ hành;
(3.2) Quản trị lữ hành;
(3.3) Điều hành tour du lịch;
(3.4) Marketing du lịch;
(3.5) Du lịch;
(3.6) Du lịch lữ hành;
(3.7) Quản lý và kinh doanh du lịch;
(3.8) Quản trị du lịch MICE;
(3.9) Đại lý lữ hành; 
(3.10) Hướng dẫn du lịch;
(3.11) Ngành, nghề, chuyên ngành có thể hiện một trong các cụm từ “du lịch”, “lữ hành”, “hướng dẫn du lịch” do cơ sở giáo dục ở Việt Nam đào tạo và cấp bằng tốt nghiệp trước thời điểm Thông tư số 06/2017/TT-BVHTTDL có hiệu lực từ ngày 01 tháng 02 năm 2018;
(3.12) Ngành, nghề, chuyên ngành có thể hiện một trong các cụm từ “du lịch”, “lữ hành”, “hướng dẫn du lịch” do cơ sở đào tạo nước ngoài đào tạo và cấp bằng tốt nghiệp. 
Trường hợp bằng tốt nghiệp không thể hiện các ngành, nghề, chuyên ngành quy định tại điểm (3.11) và (3.12) thì bổ sung bảng điểm tốt nghiệp hoặc phụ lục văn bằng thể hiện ngành, nghề, chuyên ngành, trong đó có một trong các cụm từ “du lịch”, “lữ hành”, “hướng dẫn du lịch”.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2026-05-19T16:25:26Z</dcterms:created>
  <dc:creator>Apache POI</dc:creator>
</cp:coreProperties>
</file>