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bán buôn rượu trên địa bàn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bán buôn rượu gửi 01 bộ hồ sơ về Sở Công Thương.
	+ Trong thời hạn 15 ngày làm việc kể từ ngày nhận đủ hồ sơ hợp lệ, Sở Công Thương xem xét, thẩm định và cấp giấy phép bán buôn rượu cho thương nhân. Trường hợp từ chối cấp phải trả lời bằng văn bản và nêu rõ lý do. 
	+ Trường hợp chưa đủ hồ sơ hợp lệ, trong vòng 03 ngày làm việc kể từ ngày tiếp nhận hồ sơ, cơ quan cấp giấy phép phải có văn bản yêu cầu bổ sung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Giấy phép bán buôn rượu theo Mẫu số 01 ban hành kèm theo Nghị định số 17/2020/NĐ-CP.</w:t>
            </w:r>
          </w:p>
        </w:tc>
        <w:tc>
          <w:p/>
          <w:p>
            <w:pPr>
              <w:spacing w:after="0" w:before="0" w:lineRule="auto" w:line="276"/>
              <w:jc w:val="left"/>
            </w:pPr>
            <w:r>
              <w:rPr>
                <w:rFonts w:ascii="Times New Roman" w:hAnsi="Times New Roman" w:cs="Times New Roman" w:eastAsia="Times New Roman"/>
                <w:b w:val="false"/>
                <w:sz w:val="26"/>
              </w:rPr>
              <w:t>MẪU SỐ 01 RƯỢU.docx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doanh nghiệp hoặc giấy tờ có giá trị pháp lý tương đương.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Tài liệu về hệ thống bán buôn rượu gồm một trong hai loại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hợp đồng nguyên tắc, thư xác nhận hoặc bản cam kết tham gia hệ thống phân phối rượu kèm bản sao Giấy phép bán lẻ rượu của thương nhân dự kiến tham gia hệ thống bán buôn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chứng nhận đăng ký hoạt động chi nhánh của doanh nghiệp hoặc Giấy chứng nhận đăng ký địa điểm kinh doanh của doanh nghiệp để kinh doanh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(4) Tài liệu liên quan đến nhà cung cấp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Bản sao các văn bản giới thiệu hoặc hợp đồng nguyên tắc của thương nhân sản xuất trong nước, thương nhân phân phối hoặc thương nhân bán buôn khác, trong đó ghi rõ các loại rượu dự kiến kinh doanh phù hợp với hoạt động của thương nhân sản xuất, thương nhân phân phối hoặc thương nhân bán buôn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 Bản sao Giấy phép sản xuất rượu, Giấy phép phân phối hoặc Giấy phép bán buôn rượu của các nhà cung cấp rượu.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bán buôn rượu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105/2017/NĐ-CP</w:t>
            </w:r>
          </w:p>
        </w:tc>
        <w:tc>
          <w:p/>
          <w:p>
            <w:pPr>
              <w:spacing w:after="0" w:before="0" w:lineRule="auto" w:line="276"/>
              <w:jc w:val="left"/>
            </w:pPr>
            <w:r>
              <w:rPr>
                <w:rFonts w:ascii="Times New Roman" w:hAnsi="Times New Roman" w:cs="Times New Roman" w:eastAsia="Times New Roman"/>
                <w:b w:val="false"/>
                <w:sz w:val="26"/>
              </w:rPr>
              <w:t>Về kinh doanh rượu</w:t>
            </w:r>
          </w:p>
        </w:tc>
        <w:tc>
          <w:p/>
          <w:p>
            <w:pPr>
              <w:spacing w:after="0" w:before="0" w:lineRule="auto" w:line="276"/>
              <w:jc w:val="left"/>
            </w:pPr>
            <w:r>
              <w:rPr>
                <w:rFonts w:ascii="Times New Roman" w:hAnsi="Times New Roman" w:cs="Times New Roman" w:eastAsia="Times New Roman"/>
                <w:b w:val="false"/>
                <w:sz w:val="26"/>
              </w:rPr>
              <w:t>14-09-2017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Nghị định 17/2020/NĐ-CP</w:t>
            </w:r>
          </w:p>
        </w:tc>
        <w:tc>
          <w:p/>
          <w:p>
            <w:pPr>
              <w:spacing w:after="0" w:before="0" w:lineRule="auto" w:line="276"/>
              <w:jc w:val="left"/>
            </w:pPr>
            <w:r>
              <w:rPr>
                <w:rFonts w:ascii="Times New Roman" w:hAnsi="Times New Roman" w:cs="Times New Roman" w:eastAsia="Times New Roman"/>
                <w:b w:val="false"/>
                <w:sz w:val="26"/>
              </w:rPr>
              <w:t>05-02-2020</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Là doanh nghiệp được thành lập theo quy định của pháp luật 
b) Có hệ thống bán buôn rượu trên địa bàn tỉnh, thành phố trực thuộc trung ương, nơi doanh nghiệp đặt trụ sở chính với ít nhất 01 thương nhân bán lẻ rượu. Trường hợp doanh nghiệp có thành lập chi nhánh hoặc địa điểm kinh doanh ngoài trụ sở chính để kinh doanh rượu thì không cần có xác nhận của thương nhân bán lẻ rượu.
c) Có văn bản giới thiệu hoặc hợp đồng nguyên tắc của thương nhân sản xuất rượu, thương nhân phân phối rượu hoặc thương nhân bán buôn rượu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2026-05-05T06:10:54Z</dcterms:created>
  <dc:creator>Apache POI</dc:creator>
</cp:coreProperties>
</file>