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Tổ chức, cá nhân nộp hồ sơ theo cách thức và đến địa chỉ tiếp nhận nêu dưới đây</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lí hồ sơ</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10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xml:space="preserve">+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w:t>
      </w:r>
    </w:p>
    <w:p>
      <w:pPr>
        <w:spacing w:after="0" w:before="0" w:lineRule="auto" w:line="276"/>
        <w:jc w:val="both"/>
      </w:pPr>
      <w:r>
        <w:rPr>
          <w:rFonts w:ascii="Times New Roman" w:hAnsi="Times New Roman" w:cs="Times New Roman" w:eastAsia="Times New Roman"/>
          <w:b w:val="false"/>
          <w:sz w:val="26"/>
        </w:rPr>
        <w:t xml:space="preserve"> + Trường hợp từ chối cấp giấy phép, Cục Tần số vô tuyến điện thông báo bằng văn bản nêu rõ lý do từ chối cho tổ chức, cá nhân trong thời hạn 10 ngày làm việc.</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Tổ chức, cá nhân  nộp phí theo thông báo của Tần số vô tuyến điện; sau đó nhận giấy phép tại nơi thu phí và lệ phí hoặc qua hệ thống bưu chính; hoặc nhận giấy phép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Trực tiếp tại Cục Tần số vô tuyến điện; hoặc các Trung tâm Tần số vô tuyến điện khu vực; hoặc các cơ quan phối hợp do Cục Tần số vô tuyến điện ủy quyền.
10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Lệ phí :  Đồng</w:t>
              <w:t xml:space="preserve"> (Theo Thông tư số 265/2016/TT-BTC ngày 14/11/2016của Bộ Tài chínhquy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10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1b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 sao có chứng thực Chứng chỉ khai thác viên vô tuyến điện nghiệp dư được cấp hoặc công nhận theo Quyết định số 18/2008/QĐ-BTTTT ngày 04/4/2008 của Bộ trưởng Bộ Thông tin và Truyền thông về việc ban hành quy định về hoạt động vô tuyến điện nghiệp dư; trường hợp nộp hồ sơ trực tiếp có thể nộp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minh nhân dân hoặc Hộ chiếu còn thời hạn đối với cá nhân đề nghị cấp giấy phép; trường hợp nộp hồ sơ trực tiếp có thể nộp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1b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1b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số 42/2009/QH12 ngày 04/12/2009 của Quốc hội về tần số vô tuyến điện</w:t>
            </w:r>
          </w:p>
        </w:tc>
        <w:tc>
          <w:p/>
          <w:p>
            <w:pPr>
              <w:spacing w:after="0" w:before="0" w:lineRule="auto" w:line="276"/>
              <w:jc w:val="left"/>
            </w:pPr>
            <w:r>
              <w:rPr>
                <w:rFonts w:ascii="Times New Roman" w:hAnsi="Times New Roman" w:cs="Times New Roman" w:eastAsia="Times New Roman"/>
                <w:b w:val="false"/>
                <w:sz w:val="26"/>
              </w:rPr>
              <w:t>01-07-2010</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18/2008/QĐ-BTTTT</w:t>
            </w:r>
          </w:p>
        </w:tc>
        <w:tc>
          <w:p/>
          <w:p>
            <w:pPr>
              <w:spacing w:after="0" w:before="0" w:lineRule="auto" w:line="276"/>
              <w:jc w:val="left"/>
            </w:pPr>
            <w:r>
              <w:rPr>
                <w:rFonts w:ascii="Times New Roman" w:hAnsi="Times New Roman" w:cs="Times New Roman" w:eastAsia="Times New Roman"/>
                <w:b w:val="false"/>
                <w:sz w:val="26"/>
              </w:rPr>
              <w:t>Về việc ban hành “Quy định về hoạt động vô tuyến điện nghiệp dư”</w:t>
            </w:r>
          </w:p>
        </w:tc>
        <w:tc>
          <w:p/>
          <w:p>
            <w:pPr>
              <w:spacing w:after="0" w:before="0" w:lineRule="auto" w:line="276"/>
              <w:jc w:val="left"/>
            </w:pPr>
            <w:r>
              <w:rPr>
                <w:rFonts w:ascii="Times New Roman" w:hAnsi="Times New Roman" w:cs="Times New Roman" w:eastAsia="Times New Roman"/>
                <w:b w:val="false"/>
                <w:sz w:val="26"/>
              </w:rPr>
              <w:t>04-04-2008</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sử dụng tần số và thiết bị vô tuyến điện:
        + Sử dụng tần số và thiết bị vô tuyến điện vào mục đích và nghiệp vụ vô tuyến điện mà pháp luật không cấm;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Có chứng chỉ vô tuyến điện viên đối với người khai thác thiết bị vô tuyến điện thuộc nghiệp vụ vô tuyến điện nghiệp dư.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2026-05-19T13:54:36Z</dcterms:created>
  <dc:creator>Apache POI</dc:creator>
</cp:coreProperties>
</file>