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2.001628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77/QĐ-BVHTTDL</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phép kinh doanh dịch vụ lữ hành nội địa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Du lịch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đề nghị cấp Giấy phép kinh doanh dịch vụ lữ hành nội địa nộp hồ sơ đến Sở Du lịch/Sở Văn hóa, Thể thao và Du lịch nơi doanh nghiệp có trụ sở;
</w:t>
      </w:r>
    </w:p>
    <w:p>
      <w:pPr>
        <w:spacing w:after="0" w:before="0" w:lineRule="auto" w:line="276"/>
        <w:jc w:val="both"/>
      </w:pPr>
      <w:r>
        <w:rPr>
          <w:rFonts w:ascii="Times New Roman" w:hAnsi="Times New Roman" w:cs="Times New Roman" w:eastAsia="Times New Roman"/>
          <w:b w:val="false"/>
          <w:sz w:val="26"/>
        </w:rPr>
        <w:t>
- Trong thời hạn 10 ngày kể từ ngày nhận được hồ sơ hợp lệ, Sở Du lịch/Sở Văn hóa, Thể thao và Du lịch thẩm định và cấp Giấy phép kinh doanh dịch vụ lữ hành nội địa cho doanh nghiệp; trường hợp từ chối, phải thông báo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1.000.000 Đồng</w:t>
              <w:t xml:space="preserve"> (Áp dụng mức giảm theo Thông tư số 64/2025/TT-BTC ngày 30 tháng 6 năm 2025 của Bộ trưởng Bộ Tài chính đến hết ngày 31/12/2026)</w:t>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1.000.000 Đồng</w:t>
              <w:t xml:space="preserve"> (Áp dụng mức giảm theo Thông tư số 64/2025/TT-BTC ngày 30 tháng 6 năm 2025 của Bộ trưởng Bộ Tài chính đến hết ngày 31/12/2026)</w:t>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w:t>
            </w:r>
          </w:p>
        </w:tc>
        <w:tc>
          <w:p/>
          <w:p>
            <w:pPr>
              <w:spacing w:after="0" w:before="0" w:lineRule="auto" w:line="276"/>
              <w:jc w:val="left"/>
            </w:pPr>
            <w:r>
              <w:rPr>
                <w:rFonts w:ascii="Times New Roman" w:hAnsi="Times New Roman" w:cs="Times New Roman" w:eastAsia="Times New Roman"/>
                <w:b w:val="false"/>
                <w:sz w:val="26"/>
              </w:rPr>
              <w:t>Phí : 1.000.000 Đồng</w:t>
              <w:t xml:space="preserve"> (Áp dụng mức giảm theo Thông tư số 64/2025/TT-BTC ngày 30 tháng 6 năm 2025 của Bộ trưởng Bộ Tài chính đến hết ngày 31/12/2026)</w:t>
            </w:r>
          </w:p>
        </w:tc>
        <w:tc>
          <w:p/>
          <w:p>
            <w:pPr>
              <w:spacing w:after="0" w:before="0" w:lineRule="auto" w:line="276"/>
              <w:jc w:val="left"/>
            </w:pPr>
            <w:r>
              <w:rPr>
                <w:rFonts w:ascii="Times New Roman" w:hAnsi="Times New Roman" w:cs="Times New Roman" w:eastAsia="Times New Roman"/>
                <w:b w:val="false"/>
                <w:sz w:val="26"/>
              </w:rPr>
              <w:t>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nhận ký quỹ kinh doanh dịch vụ lữ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quyết định bổ nhiệm hoặc hợp đồng lao động giữa doanh nghiệp kinh doanh dịch vụ lữ hành với người phụ trách kinh doanh dịch vụ lữ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có chứng thực bằng tốt nghiệp trung cấp trở lên chuyên ngành về lữ hành của người phụ trách kinh doanh dịch vụ lữ hành; hoặc bản sao có chứng thực bằng tốt nghiệp trung cấp trở lên chuyên ngành khác phải và bản sao có chứng thực chứng chỉ nghiệp vụ điều hành du lịch nội địa. Văn bằng do cơ sở đào tạo nước ngoài cấp phải được công nhận theo quy định của Bộ Giáo dục và Đào tạo, Bộ Lao động - Thương binh và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đề nghị cấp Giấy phép kinh doanh dịch vụ lữ hành (theo Mẫu số 01 Phụ lục II ban hành kèm theo Thông tư số 04/2024/TT-BVHTTDL ngày 26 tháng 6 năm 2024);</w:t>
            </w:r>
          </w:p>
        </w:tc>
        <w:tc>
          <w:p/>
          <w:p>
            <w:pPr>
              <w:spacing w:after="0" w:before="0" w:lineRule="auto" w:line="276"/>
              <w:jc w:val="left"/>
            </w:pPr>
            <w:r>
              <w:rPr>
                <w:rFonts w:ascii="Times New Roman" w:hAnsi="Times New Roman" w:cs="Times New Roman" w:eastAsia="Times New Roman"/>
                <w:b w:val="false"/>
                <w:sz w:val="26"/>
              </w:rPr>
              <w:t>Cac mau don.docx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Thông tin về giấy chứng nhận đăng ký doanh nghiệp được khai thác từ Cơ sở dữ liệu quốc gia về đăng ký doanh nghiệp, không yêu cầu nộp bản sao nếu đã có thông tin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Văn hóa, Thể thao và Du lịch, Sở Du lịch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kinh doanh dịch vụ lữ hành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09/2017/QH1409/2017/QH14 </w:t>
            </w:r>
          </w:p>
        </w:tc>
        <w:tc>
          <w:p/>
          <w:p>
            <w:pPr>
              <w:spacing w:after="0" w:before="0" w:lineRule="auto" w:line="276"/>
              <w:jc w:val="left"/>
            </w:pPr>
            <w:r>
              <w:rPr>
                <w:rFonts w:ascii="Times New Roman" w:hAnsi="Times New Roman" w:cs="Times New Roman" w:eastAsia="Times New Roman"/>
                <w:b w:val="false"/>
                <w:sz w:val="26"/>
              </w:rPr>
              <w:t>Du lịch</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06/2017/TT-BVHTTDL</w:t>
            </w:r>
          </w:p>
        </w:tc>
        <w:tc>
          <w:p/>
          <w:p>
            <w:pPr>
              <w:spacing w:after="0" w:before="0" w:lineRule="auto" w:line="276"/>
              <w:jc w:val="left"/>
            </w:pPr>
            <w:r>
              <w:rPr>
                <w:rFonts w:ascii="Times New Roman" w:hAnsi="Times New Roman" w:cs="Times New Roman" w:eastAsia="Times New Roman"/>
                <w:b w:val="false"/>
                <w:sz w:val="26"/>
              </w:rPr>
              <w:t>Thông tư 06/2017/TT-BVHTTDL</w:t>
            </w:r>
          </w:p>
        </w:tc>
        <w:tc>
          <w:p/>
          <w:p>
            <w:pPr>
              <w:spacing w:after="0" w:before="0" w:lineRule="auto" w:line="276"/>
              <w:jc w:val="left"/>
            </w:pPr>
            <w:r>
              <w:rPr>
                <w:rFonts w:ascii="Times New Roman" w:hAnsi="Times New Roman" w:cs="Times New Roman" w:eastAsia="Times New Roman"/>
                <w:b w:val="false"/>
                <w:sz w:val="26"/>
              </w:rPr>
              <w:t>15-12-2017</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r>
        <w:tc>
          <w:p/>
          <w:p>
            <w:pPr>
              <w:spacing w:after="0" w:before="0" w:lineRule="auto" w:line="276"/>
              <w:jc w:val="left"/>
            </w:pPr>
            <w:r>
              <w:rPr>
                <w:rFonts w:ascii="Times New Roman" w:hAnsi="Times New Roman" w:cs="Times New Roman" w:eastAsia="Times New Roman"/>
                <w:b w:val="false"/>
                <w:sz w:val="26"/>
              </w:rPr>
              <w:t>168/2017/NĐ-CP</w:t>
            </w:r>
          </w:p>
        </w:tc>
        <w:tc>
          <w:p/>
          <w:p>
            <w:pPr>
              <w:spacing w:after="0" w:before="0" w:lineRule="auto" w:line="276"/>
              <w:jc w:val="left"/>
            </w:pPr>
            <w:r>
              <w:rPr>
                <w:rFonts w:ascii="Times New Roman" w:hAnsi="Times New Roman" w:cs="Times New Roman" w:eastAsia="Times New Roman"/>
                <w:b w:val="false"/>
                <w:sz w:val="26"/>
              </w:rPr>
              <w:t>Nghị định số 168/2017/NĐ-CP ngày 31/12/2017 của Chính phủ quy định chi tiết một số điều của Luật Du lịch</w:t>
            </w:r>
          </w:p>
        </w:tc>
        <w:tc>
          <w:p/>
          <w:p>
            <w:pPr>
              <w:spacing w:after="0" w:before="0" w:lineRule="auto" w:line="276"/>
              <w:jc w:val="left"/>
            </w:pPr>
            <w:r>
              <w:rPr>
                <w:rFonts w:ascii="Times New Roman" w:hAnsi="Times New Roman" w:cs="Times New Roman" w:eastAsia="Times New Roman"/>
                <w:b w:val="false"/>
                <w:sz w:val="26"/>
              </w:rPr>
              <w:t>31-12-2017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94/2021/NĐ-CP</w:t>
            </w:r>
          </w:p>
        </w:tc>
        <w:tc>
          <w:p/>
          <w:p>
            <w:pPr>
              <w:spacing w:after="0" w:before="0" w:lineRule="auto" w:line="276"/>
              <w:jc w:val="left"/>
            </w:pPr>
            <w:r>
              <w:rPr>
                <w:rFonts w:ascii="Times New Roman" w:hAnsi="Times New Roman" w:cs="Times New Roman" w:eastAsia="Times New Roman"/>
                <w:b w:val="false"/>
                <w:sz w:val="26"/>
              </w:rPr>
              <w:t>Nghị định 94/2021/NĐ-CP</w:t>
            </w:r>
          </w:p>
        </w:tc>
        <w:tc>
          <w:p/>
          <w:p>
            <w:pPr>
              <w:spacing w:after="0" w:before="0" w:lineRule="auto" w:line="276"/>
              <w:jc w:val="left"/>
            </w:pPr>
            <w:r>
              <w:rPr>
                <w:rFonts w:ascii="Times New Roman" w:hAnsi="Times New Roman" w:cs="Times New Roman" w:eastAsia="Times New Roman"/>
                <w:b w:val="false"/>
                <w:sz w:val="26"/>
              </w:rPr>
              <w:t>28-10-2021</w:t>
            </w:r>
          </w:p>
        </w:tc>
        <w:tc>
          <w:p/>
        </w:tc>
      </w:tr>
      <w:tr>
        <w:tc>
          <w:p/>
          <w:p>
            <w:pPr>
              <w:spacing w:after="0" w:before="0" w:lineRule="auto" w:line="276"/>
              <w:jc w:val="left"/>
            </w:pPr>
            <w:r>
              <w:rPr>
                <w:rFonts w:ascii="Times New Roman" w:hAnsi="Times New Roman" w:cs="Times New Roman" w:eastAsia="Times New Roman"/>
                <w:b w:val="false"/>
                <w:sz w:val="26"/>
              </w:rPr>
              <w:t>04/2024/TT-BVHTTDL</w:t>
            </w:r>
          </w:p>
        </w:tc>
        <w:tc>
          <w:p/>
          <w:p>
            <w:pPr>
              <w:spacing w:after="0" w:before="0" w:lineRule="auto" w:line="276"/>
              <w:jc w:val="left"/>
            </w:pPr>
            <w:r>
              <w:rPr>
                <w:rFonts w:ascii="Times New Roman" w:hAnsi="Times New Roman" w:cs="Times New Roman" w:eastAsia="Times New Roman"/>
                <w:b w:val="false"/>
                <w:sz w:val="26"/>
              </w:rPr>
              <w:t>Thông tư của Bộ trưởng Bộ VHTTDL</w:t>
            </w:r>
          </w:p>
        </w:tc>
        <w:tc>
          <w:p/>
          <w:p>
            <w:pPr>
              <w:spacing w:after="0" w:before="0" w:lineRule="auto" w:line="276"/>
              <w:jc w:val="left"/>
            </w:pPr>
            <w:r>
              <w:rPr>
                <w:rFonts w:ascii="Times New Roman" w:hAnsi="Times New Roman" w:cs="Times New Roman" w:eastAsia="Times New Roman"/>
                <w:b w:val="false"/>
                <w:sz w:val="26"/>
              </w:rPr>
              <w:t>26-06-2024</w:t>
            </w:r>
          </w:p>
        </w:tc>
        <w:tc>
          <w:p/>
          <w:p>
            <w:pPr>
              <w:spacing w:after="0" w:before="0" w:lineRule="auto" w:line="276"/>
              <w:jc w:val="left"/>
            </w:pPr>
            <w:r>
              <w:rPr>
                <w:rFonts w:ascii="Times New Roman" w:hAnsi="Times New Roman" w:cs="Times New Roman" w:eastAsia="Times New Roman"/>
                <w:b w:val="false"/>
                <w:sz w:val="26"/>
              </w:rPr>
              <w:t>Bộ Văn hóa, Thể thao và Du lịch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Là doanh nghiệp được thành lập theo quy định của pháp luật về doanh nghiệp;
(2) Ký quỹ kinh doanh dịch vụ lữ hành nội địa tại ngân hàng thương mại, ngân hàng hợp tác xã hoặc chi nhánh ngân hàng nước ngoài thành lập và hoạt động tại Việt Nam: 100.000.000đ (Một trăm triệu đồng);
(3) Người phụ trách kinh doanh dịch vụ lữ hành phải tốt nghiệp trung cấp trở lên chuyên ngành về lữ hành; trường hợp tốt nghiệp trung cấp trở lên chuyên ngành khác phải có chứng chỉ nghiệp vụ điều hành du lịch nội địa. 
- Người phụ trách kinh doanh dịch vụ lữ hành là người giữ một trong các chức danh sau: chủ tịch hội đồng quản trị; chủ tịch hội đồng thành viên; chủ tịch công ty; chủ doanh nghiệp tư nhân; tổng giám đốc; giám đốc hoặc phó giám đốc; trưởng bộ phận kinh doanh dịch vụ lữ hành.
- Chuyên ngành về lữ hành được thể hiện trên bằng tốt nghiệp của một trong các ngành, nghề, chuyên ngành sau đây:
(3.1) Quản trị dịch vụ du lịch và lữ hành;
(3.2) Quản trị lữ hành;
(3.3) Điều hành tour du lịch;
(3.4) Marketing du lịch;
(3.5) Du lịch;
(3.6) Du lịch lữ hành;
(3.7) Quản lý và kinh doanh du lịch;
(3.8) Quản trị du lịch MICE;
(3.9) Đại lý lữ hành; 
(3.10) Hướng dẫn du lịch;
(3.11) Ngành, nghề, chuyên ngành có thể hiện một trong các cụm từ “du lịch”, “lữ hành”, “hướng dẫn du lịch” do cơ sở giáo dục ở Việt Nam đào tạo và cấp bằng tốt nghiệp trước thời điểm Thông tư số 06/2017/TT-BVHTTDL có hiệu lực từ ngày 01 tháng 02 năm 2018;
(3.12) Ngành, nghề, chuyên ngành có thể hiện một trong các cụm từ “du lịch”, “lữ hành”, “hướng dẫn du lịch” do cơ sở đào tạo nước ngoài đào tạo và cấp bằng tốt nghiệp. 
Trường hợp bằng tốt nghiệp không thể hiện các ngành, nghề, chuyên ngành quy định tại điểm (3.11) và (3.12) thì bổ sung bảng điểm tốt nghiệp hoặc phụ lục văn bằng thể hiện ngành, nghề, chuyên ngành, trong đó có một trong các cụm từ “du lịch”, “lữ hành”, “hướng dẫn du lịch”.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2026-05-17T12:18:44Z</dcterms:created>
  <dc:creator>Apache POI</dc:creator>
</cp:coreProperties>
</file>