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hoạt động tư vấn chuyên ngành điện thuộc thẩm quyền cấp của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tỉnh, thành phố trực thuộc Trung ương hướng dẫn việc cấp giấy phép thuộc thẩm quyền theo hình thức trực tuyến (nếu có) phù hợp với quy định tại Thông tư số 21/2020/TT-BCT ngày 09 tháng 9 năm 2020 của Bộ trưởng Bộ Công Thương quy định về trình tự, thủ tục cấp giấy phép hoạt động điện lực. 
+ Trình tự, thủ tục cấp, sửa đổi, bổ sung giấy phép hoạt động điện lực không qua trực tuyến được thực hiện như sau:
Trong thời hạn 03 ngày làm việc kể từ ngày nhận được hồ sơ đề nghị cấp, sửa đổi, bổ sung giấy phép hoạt động điện lực, cơ quan cấp giấy phép hoạt động điện lực có trách nhiệm thông báo bằng văn bản cho tổ chức, cá nhân đề nghị cấp giấy phép nếu hồ sơ không đầy đủ, hợp lệ. Trong văn bản thông báo, phải nêu rõ lý do và yêu cầu bổ sung, sửa đổi số liệu, tài liệu và các thông tin liên quan để hoàn thiện hồ sơ;
Trong thời hạn 60 ngày làm việc kể từ ngày nhận được yêu cầu bổ sung, sửa đổi số liệu, tài liệu và các thông tin liên quan của cơ quan cấp giấy phép hoạt động điện lực, tổ chức, cá nhân đề nghị cấp giấy phép phải bổ sung, sửa đổi số liệu, tài liệu, các thông tin liên quan và trả lời bằng văn bản. Hết thời hạn trên, tổ chức, cá nhân không sửa đổi, bổ sung hồ sơ theo yêu cầu, cơ quan cấp giấy phép hoạt động điện lực có quyền trả lại hồ sơ đề nghị cấp giấy phép hoạt động điện lực;
Trường hợp sửa đổi, bổ sung giấy phép hoạt động điện lực, trong thời hạn 07 ngày làm việc kể từ ngày nhận đủ hồ sơ hợp lệ theo quy định tại Điều 10 Thông tư số 21/2020/TT-BCT, cơ quan cấp giấy phép hoạt động điện lực có trách nhiệm thẩm định hồ sơ và cấp giấy phép hoạt động điện lực.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(Thông tư số 106/2020/TT-BCT ngày 08/12/2020 của Bộ trưởng Bộ Tài chính quy định mức thu, chế độ thu, nộp, quản lý và sử dụng phí thẩm định cấp giấy phép hoạt động điện lực.)</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106/2020/TT-BCT ngày 08/12/2020 của Bộ trưởng Bộ Tài chính quy định mức thu, chế độ thu, nộp, quản lý và sử dụng phí thẩm định cấp giấy phép hoạt động điện lực.)</w:t>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1.Trường hợp thay đổi tên hoặc địa chỉ trụ sở của đơn vị:</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giấy phép hoạt động điện lực theo Mẫu 01 quy định tại Phụ lục ban hành kèm theo Thông tư số 21/2020/TT-BCT ngày 09 tháng 9 năm 2020 của Bộ trưởng Bộ Công Thương quy định về trình tự, thủ tục cấp giấy phép hoạt động điện lực.</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hoặc Quyết định thành lập, Giấy chứng nhận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Trường hợp tổ chức đề nghị cấp giấy phép nhận chuyển giao tài sản hoặc giảm bớt một phần phạm vi hoạt động từ đơn vị đã được cấp giấy phép hoạt động điện lực, hồ sơ đề nghị sửa đổi giấy phép hoạt động điện lực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2.1. Văn bản đề nghị cấp giấy phép hoạt động điện lực theo Mẫu 01 quy định tại Phụ lục ban hành kèm theo Thông tư số 21/2020/TT-BCT ngày 09 tháng 9 năm 2020 của Bộ trưởng Bộ Công Thương quy định về trình tự, thủ tục cấp giấy phép hoạt động điện lực.</w:t>
            </w:r>
          </w:p>
        </w:tc>
        <w:tc>
          <w:p/>
          <w:p>
            <w:pPr>
              <w:spacing w:after="0" w:before="0" w:lineRule="auto" w:line="276"/>
              <w:jc w:val="left"/>
            </w:pPr>
            <w:r>
              <w:rPr>
                <w:rFonts w:ascii="Times New Roman" w:hAnsi="Times New Roman" w:cs="Times New Roman" w:eastAsia="Times New Roman"/>
                <w:b w:val="false"/>
                <w:sz w:val="26"/>
              </w:rPr>
              <w:t>Mẫu 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 hoặc Quyết định thành lập, Giấy chứng nhận thành lập (đối với các tổ chức không có Giấy chứng nhận đăng ký doanh nghiệp) của tổ chức đề nghị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Tài liệu chứng minh việc chuyển giao tài sản; tài liệu chứng minh việc chuyển giao nhân sự hoặc tài liệu về đội ngũ trực tiếp quản lý kỹ thuật, quản lý vận hành, chuyên gia tư vấn theo các quy định tương ứng tại khoản 3 Điều 6 Thông tư số 21/2020/TT-BCT ngày 09 tháng 9 năm 2020 của Bộ trưởng Bộ Công Thương quy định về trình tự, thủ tục cấp giấy phép hoạt động điện lực  trong trường hợp có sự thay đổi nhân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ĐIỆN LỰC (địa phương)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137/2013/NĐ-CP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Điện lực và Luật sửa đổi, bổ sung một số điều của Luật Điện lực</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Luật số 28/2004/QH11</w:t>
            </w:r>
          </w:p>
        </w:tc>
        <w:tc>
          <w:p/>
          <w:p>
            <w:pPr>
              <w:spacing w:after="0" w:before="0" w:lineRule="auto" w:line="276"/>
              <w:jc w:val="left"/>
            </w:pPr>
            <w:r>
              <w:rPr>
                <w:rFonts w:ascii="Times New Roman" w:hAnsi="Times New Roman" w:cs="Times New Roman" w:eastAsia="Times New Roman"/>
                <w:b w:val="false"/>
                <w:sz w:val="26"/>
              </w:rPr>
              <w:t>Luật Điện lực</w:t>
            </w:r>
          </w:p>
        </w:tc>
        <w:tc>
          <w:p/>
          <w:p>
            <w:pPr>
              <w:spacing w:after="0" w:before="0" w:lineRule="auto" w:line="276"/>
              <w:jc w:val="left"/>
            </w:pPr>
            <w:r>
              <w:rPr>
                <w:rFonts w:ascii="Times New Roman" w:hAnsi="Times New Roman" w:cs="Times New Roman" w:eastAsia="Times New Roman"/>
                <w:b w:val="false"/>
                <w:sz w:val="26"/>
              </w:rPr>
              <w:t>03-12-2004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24/2012/QH13</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Điện lực</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21/2020/TT-BCT</w:t>
            </w:r>
          </w:p>
        </w:tc>
        <w:tc>
          <w:p/>
          <w:p>
            <w:pPr>
              <w:spacing w:after="0" w:before="0" w:lineRule="auto" w:line="276"/>
              <w:jc w:val="left"/>
            </w:pPr>
            <w:r>
              <w:rPr>
                <w:rFonts w:ascii="Times New Roman" w:hAnsi="Times New Roman" w:cs="Times New Roman" w:eastAsia="Times New Roman"/>
                <w:b w:val="false"/>
                <w:sz w:val="26"/>
              </w:rPr>
              <w:t>Thông tư của Bộ Công thương</w:t>
            </w:r>
          </w:p>
        </w:tc>
        <w:tc>
          <w:p/>
          <w:p>
            <w:pPr>
              <w:spacing w:after="0" w:before="0" w:lineRule="auto" w:line="276"/>
              <w:jc w:val="left"/>
            </w:pPr>
            <w:r>
              <w:rPr>
                <w:rFonts w:ascii="Times New Roman" w:hAnsi="Times New Roman" w:cs="Times New Roman" w:eastAsia="Times New Roman"/>
                <w:b w:val="false"/>
                <w:sz w:val="26"/>
              </w:rPr>
              <w:t>09-09-2020</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10/2023/TT-BCT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21/2020/TT-BCT NGÀY 09 THÁNG 9 NĂM 2020 CỦA BỘ TRƯỞNG BỘ CÔNG THƯƠNG QUY ĐỊNH VỀ TRÌNH TỰ, THỦ TỤC CẤP GIẤY PHÉP HOẠT ĐỘNG ĐIỆN LỰC</w:t>
            </w:r>
          </w:p>
        </w:tc>
        <w:tc>
          <w:p/>
          <w:p>
            <w:pPr>
              <w:spacing w:after="0" w:before="0" w:lineRule="auto" w:line="276"/>
              <w:jc w:val="left"/>
            </w:pPr>
            <w:r>
              <w:rPr>
                <w:rFonts w:ascii="Times New Roman" w:hAnsi="Times New Roman" w:cs="Times New Roman" w:eastAsia="Times New Roman"/>
                <w:b w:val="false"/>
                <w:sz w:val="26"/>
              </w:rPr>
              <w:t>21-04-2023</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yêu cầu, điều kiện như đối với trường hợp cấp mới;
	Có sự thay đổi tên, địa chỉ trụ sở của đơn vị được cấp giấy phép hoặc tổ chức đề nghị cấp giấy phép nhận chuyển giao tài sản từ đơn vị đã được cấp giấy phép hoạt động điện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2026-05-27T18:33:03Z</dcterms:created>
  <dc:creator>Apache POI</dc:creator>
</cp:coreProperties>
</file>