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tổ chức và quản lý hội nghị, hội thảo quốc tế trong Quân đội thuộc thẩm quyền cho phép của Thủ trưởng Bộ Quốc phòng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Đối ngoại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Cơ quan tổ chức hội nghị, hội thảo có công văn đề nghị tổ chức hội nghị, hội thảo quốc tế kèm theo hồ sơ gửi đến Cục Đối ngoại, ít nhất là 20 ngày trước ngày dự kiến tổ chức hội nghị, hội thảo quốc tế.</w:t>
      </w:r>
    </w:p>
    <w:p>
      <w:pPr>
        <w:spacing w:after="0" w:before="0" w:lineRule="auto" w:line="276"/>
        <w:jc w:val="both"/>
      </w:pPr>
      <w:r>
        <w:rPr>
          <w:rFonts w:ascii="Times New Roman" w:hAnsi="Times New Roman" w:cs="Times New Roman" w:eastAsia="Times New Roman"/>
          <w:b w:val="false"/>
          <w:sz w:val="26"/>
        </w:rPr>
        <w:t>2.	Trong thời hạn 02 ngày làm việc kể từ ngày nhận được hồ sơ hợp lệ, Cục Đối ngoại có trách nhiệm chuyển lấy ý kiến của Cục Bảo vệ an ninh Quân đội và các cơ quan liên quan (sao, gửi hồ sơ kèm theo).</w:t>
      </w:r>
    </w:p>
    <w:p>
      <w:pPr>
        <w:spacing w:after="0" w:before="0" w:lineRule="auto" w:line="276"/>
        <w:jc w:val="both"/>
      </w:pPr>
      <w:r>
        <w:rPr>
          <w:rFonts w:ascii="Times New Roman" w:hAnsi="Times New Roman" w:cs="Times New Roman" w:eastAsia="Times New Roman"/>
          <w:b w:val="false"/>
          <w:sz w:val="26"/>
        </w:rPr>
        <w:t>3.	Trong thời hạn 05 ngày kể từ ngày nhận được hồ sơ xin ý kiến của Cục Đối ngoại, các cơ quan được xin ý kiến có trách nhiệm tham gia ý kiến bằng văn bản và gửi về Cục Đối ngoại.</w:t>
      </w:r>
    </w:p>
    <w:p>
      <w:pPr>
        <w:spacing w:after="0" w:before="0" w:lineRule="auto" w:line="276"/>
        <w:jc w:val="both"/>
      </w:pPr>
      <w:r>
        <w:rPr>
          <w:rFonts w:ascii="Times New Roman" w:hAnsi="Times New Roman" w:cs="Times New Roman" w:eastAsia="Times New Roman"/>
          <w:b w:val="false"/>
          <w:sz w:val="26"/>
        </w:rPr>
        <w:t>4.	Trong thời hạn 02 ngày làm việc kể từ ngày nhận được văn bản tham gia ý kiến của các cơ quan, Cục Đối ngoại có trách nhiệm tổng hợp ý kiến, thẩm định và đề xuất Thủ trưởng Bộ Quốc phòng xem xét, quyết định việc cho phép tổ chức hội nghị, hội thảo quốc tế.</w:t>
      </w:r>
    </w:p>
    <w:p>
      <w:pPr>
        <w:spacing w:after="0" w:before="0" w:lineRule="auto" w:line="276"/>
        <w:jc w:val="both"/>
      </w:pPr>
      <w:r>
        <w:rPr>
          <w:rFonts w:ascii="Times New Roman" w:hAnsi="Times New Roman" w:cs="Times New Roman" w:eastAsia="Times New Roman"/>
          <w:b w:val="false"/>
          <w:sz w:val="26"/>
        </w:rPr>
        <w:t>5.	Khi có quyết định của Thủ trưởng Bộ Quốc phòng về việc tổ chức hội nghị, hội thảo quốc tế, Văn phòng Bộ Quốc phòng thông báo cho các cơ quan, đơn vị, tổ chức liên quan biết,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09 ngày làm việc, không tính thời gian chuyển công văn, hồ sơ xin ý kiến.
Cách thức thực hiện: Cơ quan tổ chức hội nghị, hội thảo lập hồ sơ gửi đến Cục Đối ngoại Bộ Quốc phòng.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tổ chức hội nghị, hội thảo quốc tế của cơ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Đề án hoặc kế hoạch tổ chức hội nghị, hội thảo gồm các nội dung sau: a)	Lý do, danh nghĩa tổ chức, mục đích của hội nghị, hội thảo; b)	Thời gian và địa điểm tổ chức hội nghị, hội thảo; địa điểm tham quan, khảo sát (nếu có); c)	Hình thức và phương pháp công nghệ tổ chức (trường hợp tổ chức hội nghị, hội thảo trực tuyến); d)	Nội dung, chương trình làm việc và các hoạt động bên lề hội nghị, hội thảo; đ) Thành phần tham gia tổ chức: cơ quan phía Việt Nam, cơ quan phía nước ngoài, cơ quan tài trợ (nếu có); e)	Thành phần tham dự: Số lượng và cơ cấu thành phần đại biểu, bao gồm cả đại biểu Việt Nam và đại biểu có quốc tịch nước ngoài; g) Cung cấp thông tin về các báo cáo viên người nước ngoài trình bày trong hội nghị, hội thảo; e) Nguồn kinh phí (cơ quan, tổ chức tài trợ hoặc đồng tài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ý kiến tham gia của các cơ quan liên quan đến hội nghị, hội thảo.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đối ngoại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Quốc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đối ngoại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 Quyết định việc tổ chức hội nghị, hội thảo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76/2010/QĐ-TTg</w:t>
            </w:r>
          </w:p>
        </w:tc>
        <w:tc>
          <w:p/>
          <w:p>
            <w:pPr>
              <w:spacing w:after="0" w:before="0" w:lineRule="auto" w:line="276"/>
              <w:jc w:val="left"/>
            </w:pPr>
            <w:r>
              <w:rPr>
                <w:rFonts w:ascii="Times New Roman" w:hAnsi="Times New Roman" w:cs="Times New Roman" w:eastAsia="Times New Roman"/>
                <w:b w:val="false"/>
                <w:sz w:val="26"/>
              </w:rPr>
              <w:t>Quyết định 76/2010/QĐ-TTg  Về việc tổ chức, quản lý hội nghị, hội thảo quốc tế tại Việt Nam</w:t>
            </w:r>
          </w:p>
        </w:tc>
        <w:tc>
          <w:p/>
          <w:p>
            <w:pPr>
              <w:spacing w:after="0" w:before="0" w:lineRule="auto" w:line="276"/>
              <w:jc w:val="left"/>
            </w:pPr>
            <w:r>
              <w:rPr>
                <w:rFonts w:ascii="Times New Roman" w:hAnsi="Times New Roman" w:cs="Times New Roman" w:eastAsia="Times New Roman"/>
                <w:b w:val="false"/>
                <w:sz w:val="26"/>
              </w:rPr>
              <w:t>30-11-2010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2026-05-09T18:40:27Z</dcterms:created>
  <dc:creator>Apache POI</dc:creator>
</cp:coreProperties>
</file>