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2.001642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623/QĐ-BCT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sửa đổi, bổ sung giấy phép hoạt động phát điện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Điện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Trình tự, thủ tục cấp giấy phép hoạt động điện lực trực tuyến được thực hiện như sau:
+ Tổ chức, cá nhân đề nghị cấp giấy phép thực hiện đăng ký tài khoản trên Cổng Dịch vụ công trực tuyến của Bộ Công Thương sử dụng tài khoản đã đăng ký để khai báo và gửi hồ sơ trực tuyến;
+ Trong thời hạn 60 ngày làm việc kể từ ngày nhận được yêu cầu bổ sung, sửa đổi số liệu, tài liệu và các thông tin liên quan của cơ quan cấp giấy phép hoạt động điện lực, tổ chức, cá nhân đề nghị cấp giấy phép phải bổ sung, sửa đổi số liệu, tài liệu, các thông tin liên quan trên Cổng Dịch vụ công trực tuyến của Bộ Công Thương. Hết thời hạn trên, tổ chức, cá nhân không sửa đổi, bổ sung hồ sơ theo yêu cầu, cơ quan cấp giấy phép hoạt động điện lực có quyền trả lại hồ sơ đề nghị cấp giấy phép hoạt động điện lực;
+ Trong thời hạn 07 ngày làm việc kể từ ngày nhận đủ hồ sơ hợp lệ trên Cổng Dịch vụ công trực tuyến của Bộ Công Thương theo quy định tại Điều 10 Thông tư số 21/2020/TT-BCT, cơ quan cấp giấy phép hoạt động điện lực có trách nhiệm thẩm định hồ sơ và cấp giấy phép hoạt động điện lực.
*  Trình tự, thủ tục cấp giấy phép hoạt động điện lực không qua trực tuyến được thực hiện như sau:
	+ Trong thời hạn 03 ngày làm việc kể từ ngày nhận được hồ sơ đề nghị cấp, sửa đổi, bổ sung giấy phép hoạt động điện lực, cơ quan cấp giấy phép hoạt động điện lực có trách nhiệm thông báo bằng văn bản cho tổ chức, cá nhân đề nghị cấp giấy phép nếu hồ sơ không đầy đủ, hợp lệ. Trong văn bản thông báo, phải nêu rõ lý do và yêu cầu bổ sung, sửa đổi số liệu, tài liệu và các thông tin liên quan để hoàn thiện hồ sơ;
	+ Trong thời hạn 60 ngày làm việc kể từ ngày nhận được yêu cầu bổ sung, sửa đổi số liệu, tài liệu và các thông tin liên quan của cơ quan cấp giấy phép hoạt động điện lực, tổ chức, cá nhân đề nghị cấp giấy phép phải bổ sung, sửa đổi số liệu, tài liệu, các thông tin liên quan và trả lời bằng văn bản. Hết thời hạn trên, tổ chức, cá nhân không sửa đổi, bổ sung hồ sơ theo yêu cầu, cơ quan cấp giấy phép hoạt động điện lực có quyền trả lại hồ sơ đề nghị cấp giấy phép hoạt động điện lực;
	+ Trong thời hạn 07 ngày làm việc kể từ ngày nhận đủ hồ sơ hợp lệ, cơ quan cấp giấy phép hoạt động điện lực có trách nhiệm thẩm định hồ sơ và cấp giấy phép hoạt động điện lực.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(Thông tư số 106/2020/TT-BCT ngày 08/12/2020 của Bộ trưởng Bộ Tài chính quy định mức thu, chế độ thu, nộp, quản lý và sử dụng phí thẩm định cấp giấy phép hoạt động điện lực.)</w:t>
            </w:r>
          </w:p>
          <w:p>
            <w:pPr>
              <w:spacing w:after="0" w:before="0" w:lineRule="auto" w:line="276"/>
              <w:jc w:val="left"/>
            </w:pPr>
            <w:r>
              <w:rPr>
                <w:rFonts w:ascii="Times New Roman" w:hAnsi="Times New Roman" w:cs="Times New Roman" w:eastAsia="Times New Roman"/>
                <w:b w:val="false"/>
                <w:sz w:val="26"/>
              </w:rPr>
              <w:t xml:space="preserve">Lệ phí :  </w:t>
              <w:t xml:space="preserve"> (Thông tư số 106/2020/TT-BCT ngày 08/12/2020 của Bộ trưởng Bộ Tài chính quy định mức thu, chế độ thu, nộp, quản lý và sử dụng phí thẩm định cấp giấy phép hoạt động điện lực.)</w:t>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(Thông tư số 106/2020/TT-BCT ngày 08/12/2020 của Bộ trưởng Bộ Tài chính quy định mức thu, chế độ thu, nộp, quản lý và sử dụng phí thẩm định cấp giấy phép hoạt động điện lực.)</w:t>
            </w:r>
          </w:p>
          <w:p>
            <w:pPr>
              <w:spacing w:after="0" w:before="0" w:lineRule="auto" w:line="276"/>
              <w:jc w:val="left"/>
            </w:pPr>
            <w:r>
              <w:rPr>
                <w:rFonts w:ascii="Times New Roman" w:hAnsi="Times New Roman" w:cs="Times New Roman" w:eastAsia="Times New Roman"/>
                <w:b w:val="false"/>
                <w:sz w:val="26"/>
              </w:rPr>
              <w:t xml:space="preserve">Lệ phí :  </w:t>
              <w:t xml:space="preserve"> (Thông tư số 106/2020/TT-BCT ngày 08/12/2020 của Bộ trưởng Bộ Tài chính quy định mức thu, chế độ thu, nộp, quản lý và sử dụng phí thẩm định cấp giấy phép hoạt động điện lực.)</w:t>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(Thông tư số 106/2020/TT-BCT ngày 08/12/2020 của Bộ trưởng Bộ Tài chính quy định mức thu, chế độ thu, nộp, quản lý và sử dụng phí thẩm định cấp giấy phép hoạt động điện lực.)</w:t>
            </w:r>
          </w:p>
          <w:p>
            <w:pPr>
              <w:spacing w:after="0" w:before="0" w:lineRule="auto" w:line="276"/>
              <w:jc w:val="left"/>
            </w:pPr>
            <w:r>
              <w:rPr>
                <w:rFonts w:ascii="Times New Roman" w:hAnsi="Times New Roman" w:cs="Times New Roman" w:eastAsia="Times New Roman"/>
                <w:b w:val="false"/>
                <w:sz w:val="26"/>
              </w:rPr>
              <w:t xml:space="preserve">Lệ phí :  </w:t>
              <w:t xml:space="preserve"> (Thông tư số 106/2020/TT-BCT ngày 08/12/2020 của Bộ trưởng Bộ Tài chính quy định mức thu, chế độ thu, nộp, quản lý và sử dụng phí thẩm định cấp giấy phép hoạt động điện lực.)</w:t>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1.Trường hợp thay đổi tên hoặc địa chỉ trụ sở của đơn vị:</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cấp giấy phép hoạt động điện lực theo Mẫu 01 quy định tại Phụ lục ban hành kèm theo Thông tư số 21/2020/TT-BCT.</w:t>
            </w:r>
          </w:p>
        </w:tc>
        <w:tc>
          <w:p/>
          <w:p>
            <w:pPr>
              <w:spacing w:after="0" w:before="0" w:lineRule="auto" w:line="276"/>
              <w:jc w:val="left"/>
            </w:pPr>
            <w:r>
              <w:rPr>
                <w:rFonts w:ascii="Times New Roman" w:hAnsi="Times New Roman" w:cs="Times New Roman" w:eastAsia="Times New Roman"/>
                <w:b w:val="false"/>
                <w:sz w:val="26"/>
              </w:rPr>
              <w:t>Mẫu 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doanh nghiệp hoặc Quyết định thành lập, Giấy chứng nhận thành lập (đối với các tổ chức không có Giấy chứng nhận đăng ký doanh nghiệp) của tổ chức đề nghị cấp giấy phép.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2. Trường hợp tổ chức đề nghị cấp giấy phép nhận chuyển giao tài sản hoặc giảm bớt một phần phạm vi hoạt động từ đơn vị đã được cấp giấy phép hoạt động điện lực, hồ sơ đề nghị sửa đổi giấy phép hoạt động điện lực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cấp giấy phép hoạt động điện lực theo Mẫu 01 quy định tại Phụ lục ban hành kèm theo Thông tư số 21/2020/TT-BCT.</w:t>
            </w:r>
          </w:p>
        </w:tc>
        <w:tc>
          <w:p/>
          <w:p>
            <w:pPr>
              <w:spacing w:after="0" w:before="0" w:lineRule="auto" w:line="276"/>
              <w:jc w:val="left"/>
            </w:pPr>
            <w:r>
              <w:rPr>
                <w:rFonts w:ascii="Times New Roman" w:hAnsi="Times New Roman" w:cs="Times New Roman" w:eastAsia="Times New Roman"/>
                <w:b w:val="false"/>
                <w:sz w:val="26"/>
              </w:rPr>
              <w:t>Mẫu 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doanh nghiệp hoặc Quyết định thành lập, Giấy chứng nhận thành lập (đối với các tổ chức không có Giấy chứng nhận đăng ký doanh nghiệp) của tổ chức đề nghị cấp giấy phép.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Tài liệu chứng minh việc chuyển giao tài sản; tài liệu chứng minh việc chuyển giao nhân sự hoặc tài liệu về đội ngũ trực tiếp quản lý kỹ thuật, quản lý vận hành, chuyên gia tư vấn theo các quy định tương ứng tại khoản 3 Điều 7 Thông tư số 21/2020/TT-BCT trong trường hợp có sự thay đổi nhân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Điều tiết điện lực</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Công thương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ĐIỆN LỰC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08/2018/NĐ-CP</w:t>
            </w:r>
          </w:p>
        </w:tc>
        <w:tc>
          <w:p/>
          <w:p>
            <w:pPr>
              <w:spacing w:after="0" w:before="0" w:lineRule="auto" w:line="276"/>
              <w:jc w:val="left"/>
            </w:pPr>
            <w:r>
              <w:rPr>
                <w:rFonts w:ascii="Times New Roman" w:hAnsi="Times New Roman" w:cs="Times New Roman" w:eastAsia="Times New Roman"/>
                <w:b w:val="false"/>
                <w:sz w:val="26"/>
              </w:rPr>
              <w:t>Sửa đổi một số Nghị định liên quan đến điều kiện đầu tư kinh doanh thuộc phạm vi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15-01-2018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137/2013/NĐ-CP</w:t>
            </w:r>
          </w:p>
        </w:tc>
        <w:tc>
          <w:p/>
          <w:p>
            <w:pPr>
              <w:spacing w:after="0" w:before="0" w:lineRule="auto" w:line="276"/>
              <w:jc w:val="left"/>
            </w:pPr>
            <w:r>
              <w:rPr>
                <w:rFonts w:ascii="Times New Roman" w:hAnsi="Times New Roman" w:cs="Times New Roman" w:eastAsia="Times New Roman"/>
                <w:b w:val="false"/>
                <w:sz w:val="26"/>
              </w:rPr>
              <w:t>Quy định chi tiết thi hành một số điều của Luật Điện lực và Luật sửa đổi, bổ sung một số điều của Luật Điện lực</w:t>
            </w:r>
          </w:p>
        </w:tc>
        <w:tc>
          <w:p/>
          <w:p>
            <w:pPr>
              <w:spacing w:after="0" w:before="0" w:lineRule="auto" w:line="276"/>
              <w:jc w:val="left"/>
            </w:pPr>
            <w:r>
              <w:rPr>
                <w:rFonts w:ascii="Times New Roman" w:hAnsi="Times New Roman" w:cs="Times New Roman" w:eastAsia="Times New Roman"/>
                <w:b w:val="false"/>
                <w:sz w:val="26"/>
              </w:rPr>
              <w:t>21-10-2013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Luật số 28/2004/QH11</w:t>
            </w:r>
          </w:p>
        </w:tc>
        <w:tc>
          <w:p/>
          <w:p>
            <w:pPr>
              <w:spacing w:after="0" w:before="0" w:lineRule="auto" w:line="276"/>
              <w:jc w:val="left"/>
            </w:pPr>
            <w:r>
              <w:rPr>
                <w:rFonts w:ascii="Times New Roman" w:hAnsi="Times New Roman" w:cs="Times New Roman" w:eastAsia="Times New Roman"/>
                <w:b w:val="false"/>
                <w:sz w:val="26"/>
              </w:rPr>
              <w:t>Luật Điện lực</w:t>
            </w:r>
          </w:p>
        </w:tc>
        <w:tc>
          <w:p/>
          <w:p>
            <w:pPr>
              <w:spacing w:after="0" w:before="0" w:lineRule="auto" w:line="276"/>
              <w:jc w:val="left"/>
            </w:pPr>
            <w:r>
              <w:rPr>
                <w:rFonts w:ascii="Times New Roman" w:hAnsi="Times New Roman" w:cs="Times New Roman" w:eastAsia="Times New Roman"/>
                <w:b w:val="false"/>
                <w:sz w:val="26"/>
              </w:rPr>
              <w:t>03-12-2004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Luật số 24/2012/QH13</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Điện lực</w:t>
            </w:r>
          </w:p>
        </w:tc>
        <w:tc>
          <w:p/>
          <w:p>
            <w:pPr>
              <w:spacing w:after="0" w:before="0" w:lineRule="auto" w:line="276"/>
              <w:jc w:val="left"/>
            </w:pPr>
            <w:r>
              <w:rPr>
                <w:rFonts w:ascii="Times New Roman" w:hAnsi="Times New Roman" w:cs="Times New Roman" w:eastAsia="Times New Roman"/>
                <w:b w:val="false"/>
                <w:sz w:val="26"/>
              </w:rPr>
              <w:t>20-11-2012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17/2020/NĐ-CP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liên quan đến điều kiện đầu tư kinh doanh thuộc lĩnh vực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05-02-2020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21/2020/TT-BCT</w:t>
            </w:r>
          </w:p>
        </w:tc>
        <w:tc>
          <w:p/>
          <w:p>
            <w:pPr>
              <w:spacing w:after="0" w:before="0" w:lineRule="auto" w:line="276"/>
              <w:jc w:val="left"/>
            </w:pPr>
            <w:r>
              <w:rPr>
                <w:rFonts w:ascii="Times New Roman" w:hAnsi="Times New Roman" w:cs="Times New Roman" w:eastAsia="Times New Roman"/>
                <w:b w:val="false"/>
                <w:sz w:val="26"/>
              </w:rPr>
              <w:t>Thông tư của Bộ Công thương</w:t>
            </w:r>
          </w:p>
        </w:tc>
        <w:tc>
          <w:p/>
          <w:p>
            <w:pPr>
              <w:spacing w:after="0" w:before="0" w:lineRule="auto" w:line="276"/>
              <w:jc w:val="left"/>
            </w:pPr>
            <w:r>
              <w:rPr>
                <w:rFonts w:ascii="Times New Roman" w:hAnsi="Times New Roman" w:cs="Times New Roman" w:eastAsia="Times New Roman"/>
                <w:b w:val="false"/>
                <w:sz w:val="26"/>
              </w:rPr>
              <w:t>09-09-2020</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10/2023/TT-BCT</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SỐ 21/2020/TT-BCT NGÀY 09 THÁNG 9 NĂM 2020 CỦA BỘ TRƯỞNG BỘ CÔNG THƯƠNG QUY ĐỊNH VỀ TRÌNH TỰ, THỦ TỤC CẤP GIẤY PHÉP HOẠT ĐỘNG ĐIỆN LỰC</w:t>
            </w:r>
          </w:p>
        </w:tc>
        <w:tc>
          <w:p/>
          <w:p>
            <w:pPr>
              <w:spacing w:after="0" w:before="0" w:lineRule="auto" w:line="276"/>
              <w:jc w:val="left"/>
            </w:pPr>
            <w:r>
              <w:rPr>
                <w:rFonts w:ascii="Times New Roman" w:hAnsi="Times New Roman" w:cs="Times New Roman" w:eastAsia="Times New Roman"/>
                <w:b w:val="false"/>
                <w:sz w:val="26"/>
              </w:rPr>
              <w:t>21-04-2023</w:t>
            </w:r>
          </w:p>
        </w:tc>
        <w:tc>
          <w:p/>
          <w:p>
            <w:pPr>
              <w:spacing w:after="0" w:before="0" w:lineRule="auto" w:line="276"/>
              <w:jc w:val="left"/>
            </w:pPr>
            <w:r>
              <w:rPr>
                <w:rFonts w:ascii="Times New Roman" w:hAnsi="Times New Roman" w:cs="Times New Roman" w:eastAsia="Times New Roman"/>
                <w:b w:val="false"/>
                <w:sz w:val="26"/>
              </w:rPr>
              <w:t>Bộ Công thương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Đảm bảo yêu cầu, điều kiện như đối với trường hợp cấp mới;
	Có sự thay đổi tên, địa chỉ trụ sở của đơn vị được cấp giấy phép hoặc tổ chức đề nghị cấp giấy phép nhận chuyển giao tài sản từ đơn vị đã được cấp giấy phép hoạt động điện lực.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2026-05-26T18:45:04Z</dcterms:created>
  <dc:creator>Apache POI</dc:creator>
</cp:coreProperties>
</file>