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tổ chức khoa học và công nghệ có hoạt động liên kết với tổ chức ứng dụng, chuyển giao công nghệ địa phương để hoàn thiện kết quả nghiên cứu khoa học và phát triển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nộp hồ sơ đề nghị hỗ trợ kinh phí thực hiện nhiệm vụ khoa học và công nghệ cấp tỉnh khi thực hiện hoạt động liên kết với tổ chức ứng dụng, chuyển giao công nghệ địa phương để hoàn thiện kết quả nghiên cứu khoa học và phát triển công nghệ đến Ủy ban nhân dân cấp tỉnh.
- Ủy ban nhân dân cấp tỉnh xem xét, thành lập Hội đồng tư vấn xác định nhiệm vụ khoa học và công nghệ. 
- Trong thời hạn 15 ngày làm việc kể từ khi có kết quả làm việc của hội đồng tư vấn, Ủy ban nhân dân cấp tỉnh ra quyết định phê duyệt nhiệm vụ khoa học và công nghệ được hỗ trợ.
- Trong thời hạn 15 ngày làm việc kể từ ngày phê duyệt, Ủy ban nhân dân cấp tỉnh công bố công khai nhiệm vụ khoa học và công nghệ được hỗ trợ trên Cổng thông tin điện tử của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Phê duyệt nhiệm vụ khoa học và công nghệ được hỗ trợ: Trong thời hạn 15 ngày làm việc kể từ khi có kết quả làm việc của hội đồng tư vấn xác định nhiệm vụ.</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Công bố công khai nhiệm vụ khoa học và công nghệ trên cổng thông tin điện tử của địa phương quản lý: Trong thời hạn 15 ngày làm việc kể từ ngày phê duyệt nhiệm vụ khoa học và công nghệ được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Phê duyệt nhiệm vụ khoa học và công nghệ được hỗ trợ: Trong thời hạn 15 ngày làm việc kể từ khi có kết quả làm việc của hội đồng tư vấn xác định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Công bố công khai nhiệm vụ khoa học và công nghệ trên cổng thông tin điện tử của địa phương quản lý: Trong thời hạn 15 ngày làm việc kể từ ngày phê duyệt nhiệm vụ khoa học và công nghệ được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Phê duyệt nhiệm vụ khoa học và công nghệ được hỗ trợ: Trong thời hạn 15 ngày làm việc kể từ khi có kết quả làm việc của hội đồng tư vấn xác định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Công bố công khai nhiệm vụ khoa học và công nghệ trên cổng thông tin điện tử của địa phương quản lý: Trong thời hạn 15 ngày làm việc kể từ ngày phê duyệt nhiệm vụ khoa học và công nghệ được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xuất nhiệm vụ khoa học và công nghệ (theo Mẫu);;</w:t>
            </w:r>
          </w:p>
        </w:tc>
        <w:tc>
          <w:p/>
          <w:p>
            <w:pPr>
              <w:spacing w:after="0" w:before="0" w:lineRule="auto" w:line="276"/>
              <w:jc w:val="left"/>
            </w:pPr>
            <w:r>
              <w:rPr>
                <w:rFonts w:ascii="Times New Roman" w:hAnsi="Times New Roman" w:cs="Times New Roman" w:eastAsia="Times New Roman"/>
                <w:b w:val="false"/>
                <w:sz w:val="26"/>
              </w:rPr>
              <w:t>Phiuxutnhimvs04MuA1.docx</w:t>
            </w:r>
          </w:p>
          <w:p>
            <w:pPr>
              <w:spacing w:after="0" w:before="0" w:lineRule="auto" w:line="276"/>
              <w:jc w:val="left"/>
            </w:pPr>
            <w:r>
              <w:rPr>
                <w:rFonts w:ascii="Times New Roman" w:hAnsi="Times New Roman" w:cs="Times New Roman" w:eastAsia="Times New Roman"/>
                <w:b w:val="false"/>
                <w:sz w:val="26"/>
              </w:rPr>
              <w:t>Phiuxutnhimvs04MuA2.docx</w:t>
            </w:r>
          </w:p>
          <w:p>
            <w:pPr>
              <w:spacing w:after="0" w:before="0" w:lineRule="auto" w:line="276"/>
              <w:jc w:val="left"/>
            </w:pPr>
            <w:r>
              <w:rPr>
                <w:rFonts w:ascii="Times New Roman" w:hAnsi="Times New Roman" w:cs="Times New Roman" w:eastAsia="Times New Roman"/>
                <w:b w:val="false"/>
                <w:sz w:val="26"/>
              </w:rPr>
              <w:t>Phiuxutnhimvs04MuA3.docx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kết quả nghiên cứu khoa học và phát triển công nghệ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sở hữu hợp pháp kết quả nghiên cứu khoa học và phát triển công nghệ hoặc văn bản cam kết trong trường hợp không có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khác liên quan đến nhiệm vụ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khoa học và công nghệ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06/2023/TT-BKHCN</w:t>
            </w:r>
          </w:p>
        </w:tc>
        <w:tc>
          <w:p/>
          <w:p>
            <w:pPr>
              <w:spacing w:after="0" w:before="0" w:lineRule="auto" w:line="276"/>
              <w:jc w:val="left"/>
            </w:pPr>
            <w:r>
              <w:rPr>
                <w:rFonts w:ascii="Times New Roman" w:hAnsi="Times New Roman" w:cs="Times New Roman" w:eastAsia="Times New Roman"/>
                <w:b w:val="false"/>
                <w:sz w:val="26"/>
              </w:rPr>
              <w:t>Thông tư số 06/2023/TT-BKHCN ngày 25/5/2023 của Bộ trưởng Bộ Khoa học và Công nghệ quy định trình tự, thủ tục xác định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25-05-2023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khoa học và công nghệ xin hỗ trợ phải đáp ứng các điều kiện sau:
- Có dự án đầu tư thuộc ngành nghề ưu đãi đầu tư, địa bàn ưu đãi đầu tư;
- Có Hợp đồng chuyển giao công nghệ hoặc Giấy chứng nhận đăng ký chuyển giao công nghệ (nếu thuộc đối tượng phải đăng ký chuyển giao công nghệ);
- Công nghệ được chuyển giao thuộc dự án thuộc ngành nghề ưu đãi đầu tư, địa bàn ưu đãi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tổ chức khoa học và công nghệ có hoạt động liên kết với tổ chức ứng dụng, chuyển giao công nghệ địa phương để hoàn thiện kết quả nghiên cứu khoa học và phát triển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2026-05-20T05:31:24Z</dcterms:created>
  <dc:creator>Apache POI</dc:creator>
</cp:coreProperties>
</file>