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1.003909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Số 1258/QĐ-BVHTTDL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đủ điều kiện kinh doanh sản xuất phim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Điện ảnh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có nhu cầu cấp Giấy chứng nhận đủ điều kiện kinh doanh sản xuất phim nộp trực tiếp hoặc gửi qua đường bưu điện một 01 bộ hồ sơ đến Cục Điện ảnh.
- Cục Điện ảnh cấp Giấy chứng nhận đủ điều kiện kinh doanh sản xuất phim. Trường hợp không cấp Giấy chứng nhận phải trả lời bằng văn bản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 hoặc gửi qua đường bưu điện đến Cục Điện ảnh.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 hoặc gửi qua đường bưu điện đến Cục Điện ảnh.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(Mẫu số 1 ban hành kèm theo Thông tư số 11/2011/TT-BVHTTDL ngày 19 tháng 9 năm 2011);</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Văn bản xác nhận vốn pháp định của cơ quan, tổ chức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Lý lịch của người được đề nghị làm Giám đốc hoặc Tổng Giám đốc doanh nghiệp sản xuất phim có xác nhận của cơ quan, tổ chức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Điện ảnh - Bộ Văn hóa, Thể thao và Du lịch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Văn hóa, Thể thao và Du lịch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142/2018/NĐ-CP</w:t>
            </w:r>
          </w:p>
        </w:tc>
        <w:tc>
          <w:p/>
          <w:p>
            <w:pPr>
              <w:spacing w:after="0" w:before="0" w:lineRule="auto" w:line="276"/>
              <w:jc w:val="left"/>
            </w:pPr>
            <w:r>
              <w:rPr>
                <w:rFonts w:ascii="Times New Roman" w:hAnsi="Times New Roman" w:cs="Times New Roman" w:eastAsia="Times New Roman"/>
                <w:b w:val="false"/>
                <w:sz w:val="26"/>
              </w:rPr>
              <w:t>Nghị định 142/2018/NĐ-CP</w:t>
            </w:r>
          </w:p>
        </w:tc>
        <w:tc>
          <w:p/>
          <w:p>
            <w:pPr>
              <w:spacing w:after="0" w:before="0" w:lineRule="auto" w:line="276"/>
              <w:jc w:val="left"/>
            </w:pPr>
            <w:r>
              <w:rPr>
                <w:rFonts w:ascii="Times New Roman" w:hAnsi="Times New Roman" w:cs="Times New Roman" w:eastAsia="Times New Roman"/>
                <w:b w:val="false"/>
                <w:sz w:val="26"/>
              </w:rPr>
              <w:t>09-10-2018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62/2006/QH11 </w:t>
            </w:r>
          </w:p>
        </w:tc>
        <w:tc>
          <w:p/>
          <w:p>
            <w:pPr>
              <w:spacing w:after="0" w:before="0" w:lineRule="auto" w:line="276"/>
              <w:jc w:val="left"/>
            </w:pPr>
            <w:r>
              <w:rPr>
                <w:rFonts w:ascii="Times New Roman" w:hAnsi="Times New Roman" w:cs="Times New Roman" w:eastAsia="Times New Roman"/>
                <w:b w:val="false"/>
                <w:sz w:val="26"/>
              </w:rPr>
              <w:t>Luật 62/2006/QH11</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31/2009/QH12 </w:t>
            </w:r>
          </w:p>
        </w:tc>
        <w:tc>
          <w:p/>
          <w:p>
            <w:pPr>
              <w:spacing w:after="0" w:before="0" w:lineRule="auto" w:line="276"/>
              <w:jc w:val="left"/>
            </w:pPr>
            <w:r>
              <w:rPr>
                <w:rFonts w:ascii="Times New Roman" w:hAnsi="Times New Roman" w:cs="Times New Roman" w:eastAsia="Times New Roman"/>
                <w:b w:val="false"/>
                <w:sz w:val="26"/>
              </w:rPr>
              <w:t>Luật 31/2009/QH12</w:t>
            </w:r>
          </w:p>
        </w:tc>
        <w:tc>
          <w:p/>
          <w:p>
            <w:pPr>
              <w:spacing w:after="0" w:before="0" w:lineRule="auto" w:line="276"/>
              <w:jc w:val="left"/>
            </w:pPr>
            <w:r>
              <w:rPr>
                <w:rFonts w:ascii="Times New Roman" w:hAnsi="Times New Roman" w:cs="Times New Roman" w:eastAsia="Times New Roman"/>
                <w:b w:val="false"/>
                <w:sz w:val="26"/>
              </w:rPr>
              <w:t>18-06-2009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54/2010/NĐ-CP </w:t>
            </w:r>
          </w:p>
        </w:tc>
        <w:tc>
          <w:p/>
          <w:p>
            <w:pPr>
              <w:spacing w:after="0" w:before="0" w:lineRule="auto" w:line="276"/>
              <w:jc w:val="left"/>
            </w:pPr>
            <w:r>
              <w:rPr>
                <w:rFonts w:ascii="Times New Roman" w:hAnsi="Times New Roman" w:cs="Times New Roman" w:eastAsia="Times New Roman"/>
                <w:b w:val="false"/>
                <w:sz w:val="26"/>
              </w:rPr>
              <w:t>Nghị định 54/2010/NĐ-CP</w:t>
            </w:r>
          </w:p>
        </w:tc>
        <w:tc>
          <w:p/>
          <w:p>
            <w:pPr>
              <w:spacing w:after="0" w:before="0" w:lineRule="auto" w:line="276"/>
              <w:jc w:val="left"/>
            </w:pPr>
            <w:r>
              <w:rPr>
                <w:rFonts w:ascii="Times New Roman" w:hAnsi="Times New Roman" w:cs="Times New Roman" w:eastAsia="Times New Roman"/>
                <w:b w:val="false"/>
                <w:sz w:val="26"/>
              </w:rPr>
              <w:t>21-05-2010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11/2011/TT-BVHTTDL</w:t>
            </w:r>
          </w:p>
        </w:tc>
        <w:tc>
          <w:p/>
          <w:p>
            <w:pPr>
              <w:spacing w:after="0" w:before="0" w:lineRule="auto" w:line="276"/>
              <w:jc w:val="left"/>
            </w:pPr>
            <w:r>
              <w:rPr>
                <w:rFonts w:ascii="Times New Roman" w:hAnsi="Times New Roman" w:cs="Times New Roman" w:eastAsia="Times New Roman"/>
                <w:b w:val="false"/>
                <w:sz w:val="26"/>
              </w:rPr>
              <w:t>Thông tư 11/2011/TT-BVHTTDL</w:t>
            </w:r>
          </w:p>
        </w:tc>
        <w:tc>
          <w:p/>
          <w:p>
            <w:pPr>
              <w:spacing w:after="0" w:before="0" w:lineRule="auto" w:line="276"/>
              <w:jc w:val="left"/>
            </w:pPr>
            <w:r>
              <w:rPr>
                <w:rFonts w:ascii="Times New Roman" w:hAnsi="Times New Roman" w:cs="Times New Roman" w:eastAsia="Times New Roman"/>
                <w:b w:val="false"/>
                <w:sz w:val="26"/>
              </w:rPr>
              <w:t>19-09-2011</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xml:space="preserve">(1) Doanh nghiệp có vốn pháp định là 200.000.000 đồng (hai trăm triệu đồng), được xác nhận bằng văn bản sau :*
a) Quyết định giao vốn của chủ sở hữu đối với doanh nghiệp nhà nước, công ty trách nhiệm hữu hạn nhà nước một hoặc hai thành viên mà chủ sở hữu là một tổ chức;
b) Biên bản góp vốn của các cổ đông sáng lập đối với công ty cổ phần hoặc của các thành viên sáng lập đối với công ty trách nhiệm hữu hạn có từ hai thành viên trở lên;
c) Bản đăng ký vốn đầu tư của chủ sở hữu doanh nghiệp đối với doanh nghiệp tư nhân, công ty hợp danh và đối với công ty trách nhiệm hữu hạn mà chủ sở hữu là cá nhân.
2. Đối với số vốn được góp bằng tiền phải có xác nhận của ngân hàng được phép hoạt động tại Việt Nam về số tiền ký quỹ của các thành viên sáng lập. Số tiền ký quỹ phải bằng số vốn góp bằng tiền của các thành viên sáng lập và chỉ được giải tỏa sau khi doanh nghiệp được cấp Giấy chứng nhận đăng ký kinh doanh.
3. Đối với số vốn được góp bằng tài sản thì phải có chứng thư của tổ chức có chức năng định giá đang hoạt động tại Việt Nam về kết quả định giá tài sản được đưa vào góp vốn. Chứng thư phải còn hiệu lực tính đến ngày nộp hồ sơ tại cơ quan có thẩm quyền cấp phép.
4. Đối với doanh nghiệp đang hoạt động có nhu cầu bổ sung ngành nghề kinh doanh sản xuất phim thì phải có văn bản xác nhận của cơ quan kiểm toán độc lập về số vốn hiện có của doanh nghiệp được đưa vào góp vốn thể hiện trên báo cáo tài chính của doanh nghiệp tại thời điểm gần nhất bảo đảm lớn hơn hoặc bằng mức vốn pháp định là 200.000.000 đồng (hai trăm triệu đồng)*
 </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2026-05-19T13:04:05Z</dcterms:created>
  <dc:creator>Apache POI</dc:creator>
</cp:coreProperties>
</file>