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chia, tách; sáp nhập; hợp nhất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lãnh đạo hội gửi hồ sơ đến Bộ Nội vụ xin chia, tách; sáp nhập; hợp nhất hội.</w:t>
      </w:r>
    </w:p>
    <w:p>
      <w:pPr>
        <w:spacing w:after="0" w:before="0" w:lineRule="auto" w:line="276"/>
        <w:jc w:val="both"/>
      </w:pPr>
      <w:r>
        <w:rPr>
          <w:rFonts w:ascii="Times New Roman" w:hAnsi="Times New Roman" w:cs="Times New Roman" w:eastAsia="Times New Roman"/>
          <w:b w:val="false"/>
          <w:sz w:val="26"/>
        </w:rPr>
        <w:t>- Bước 2: Vụ Tổ chức phi chính phủ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Vụ Tổ chức chính phủ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Vụ Tổ chức phi chính phủ xem xét, trình Lãnh đạo Bộ quyết định cho phép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Bộ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 của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ban lãnh đạo lâm thời của hội thành lập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và phiếu lý lịch tư pháp của người đứng đầu ban lãnh đạo lâm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tách hội));</w:t>
            </w:r>
          </w:p>
        </w:tc>
        <w:tc>
          <w:p/>
          <w:p>
            <w:pPr>
              <w:spacing w:after="0" w:before="0" w:lineRule="auto" w:line="276"/>
              <w:jc w:val="left"/>
            </w:pPr>
            <w:r>
              <w:rPr>
                <w:rFonts w:ascii="Times New Roman" w:hAnsi="Times New Roman" w:cs="Times New Roman" w:eastAsia="Times New Roman"/>
                <w:b w:val="false"/>
                <w:sz w:val="26"/>
              </w:rPr>
              <w:t>Mẫu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chia hội)</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sáp nhập hội)</w:t>
            </w:r>
          </w:p>
        </w:tc>
        <w:tc>
          <w:p/>
          <w:p>
            <w:pPr>
              <w:spacing w:after="0" w:before="0" w:lineRule="auto" w:line="276"/>
              <w:jc w:val="left"/>
            </w:pPr>
            <w:r>
              <w:rPr>
                <w:rFonts w:ascii="Times New Roman" w:hAnsi="Times New Roman" w:cs="Times New Roman" w:eastAsia="Times New Roman"/>
                <w:b w:val="false"/>
                <w:sz w:val="26"/>
              </w:rPr>
              <w:t>Mẫu 12.doc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hợp nhất  hội)</w:t>
            </w:r>
          </w:p>
        </w:tc>
        <w:tc>
          <w:p/>
          <w:p>
            <w:pPr>
              <w:spacing w:after="0" w:before="0" w:lineRule="auto" w:line="276"/>
              <w:jc w:val="left"/>
            </w:pPr>
            <w:r>
              <w:rPr>
                <w:rFonts w:ascii="Times New Roman" w:hAnsi="Times New Roman" w:cs="Times New Roman" w:eastAsia="Times New Roman"/>
                <w:b w:val="false"/>
                <w:sz w:val="26"/>
              </w:rPr>
              <w:t>Mẫu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Trong thời hạn 30 ngày kể từ khi có quyết định chia, tách; sáp nhập; hợp nhất hội, các hội mới được hình thành phải tổ chức đại hội để thông qua các nội dung được quy định tại Điều 11 Nghị định số 45/2010/NĐ-CP.
 b) Các hội mới được hình thành do chia, tách; sáp nhập; hợp nhất lập 01 bộ hồ sơ theo quy định tại Điều 12 Nghị định số 45/2010/NĐ-CP gửi cơ quan nhà nước có thẩm quyền theo Điều 14 Nghị định số 45/2010/NĐ-CP để xem xét, phê duyệt điều lệ.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2026-05-20T05:17:30Z</dcterms:created>
  <dc:creator>Apache POI</dc:creator>
</cp:coreProperties>
</file>