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chứng nhận đăng ký đầu tư đối với dự án đầu tư thuộc diện điều chỉnh quyết định chủ trương đầu tư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hồ sơ theo quy định tại Khoản 2 Điều 33 Nghị định 118/2015/NĐ-CP cho Sở Kế hoạch và Đầu tư.</w:t>
      </w:r>
    </w:p>
    <w:p>
      <w:pPr>
        <w:spacing w:after="0" w:before="0" w:lineRule="auto" w:line="276"/>
        <w:jc w:val="both"/>
      </w:pPr>
      <w:r>
        <w:rPr>
          <w:rFonts w:ascii="Times New Roman" w:hAnsi="Times New Roman" w:cs="Times New Roman" w:eastAsia="Times New Roman"/>
          <w:b w:val="false"/>
          <w:sz w:val="26"/>
        </w:rPr>
        <w:t>- Bước 2: Trong thời hạn 03 ngày làm việc kể từ ngày nhận được hồ sơ hợp lệ, Sở Kế hoạch và Đầu tư gửi hồ sơ cho cơ quan nhà nước có thẩm quyền liên quan để lấy ý kiến về những nội dung điều chỉnh.</w:t>
      </w:r>
    </w:p>
    <w:p>
      <w:pPr>
        <w:spacing w:after="0" w:before="0" w:lineRule="auto" w:line="276"/>
        <w:jc w:val="both"/>
      </w:pPr>
      <w:r>
        <w:rPr>
          <w:rFonts w:ascii="Times New Roman" w:hAnsi="Times New Roman" w:cs="Times New Roman" w:eastAsia="Times New Roman"/>
          <w:b w:val="false"/>
          <w:sz w:val="26"/>
        </w:rPr>
        <w:t>- Bước 3: Trong thời hạn 10 ngày làm việc kể từ ngày nhận được đề nghị của Sở Kế hoạch và Đầu tư, các cơ quan được lấy ý kiến có ý kiến về nội dung điều chỉnh thuộc phạm vi quản lý của mình.</w:t>
      </w:r>
    </w:p>
    <w:p>
      <w:pPr>
        <w:spacing w:after="0" w:before="0" w:lineRule="auto" w:line="276"/>
        <w:jc w:val="both"/>
      </w:pPr>
      <w:r>
        <w:rPr>
          <w:rFonts w:ascii="Times New Roman" w:hAnsi="Times New Roman" w:cs="Times New Roman" w:eastAsia="Times New Roman"/>
          <w:b w:val="false"/>
          <w:sz w:val="26"/>
        </w:rPr>
        <w:t xml:space="preserve">- Bước 4: Trong thời hạn 05 ngày làm việc kể từ ngày nhận được ý kiến của cơ quan nêu tại Bước 3, Sở Kế hoạch và Đầu tư lập báo cáo thẩm định về các nội dung điều </w:t>
      </w:r>
    </w:p>
    <w:p>
      <w:pPr>
        <w:spacing w:after="0" w:before="0" w:lineRule="auto" w:line="276"/>
        <w:jc w:val="both"/>
      </w:pPr>
      <w:r>
        <w:rPr>
          <w:rFonts w:ascii="Times New Roman" w:hAnsi="Times New Roman" w:cs="Times New Roman" w:eastAsia="Times New Roman"/>
          <w:b w:val="false"/>
          <w:sz w:val="26"/>
        </w:rPr>
        <w:t>- Bước 5: Trong thời hạn 05 ngày làm việc kể từ ngày nhận được báo cáo thẩm định của Sở Kế hoạch và Đầu tư, Ủy ban nhân dân cấp tỉnh quyết định điều chỉnh chủ trương đầu tư.</w:t>
      </w:r>
    </w:p>
    <w:p>
      <w:pPr>
        <w:spacing w:after="0" w:before="0" w:lineRule="auto" w:line="276"/>
        <w:jc w:val="both"/>
      </w:pPr>
      <w:r>
        <w:rPr>
          <w:rFonts w:ascii="Times New Roman" w:hAnsi="Times New Roman" w:cs="Times New Roman" w:eastAsia="Times New Roman"/>
          <w:b w:val="false"/>
          <w:sz w:val="26"/>
        </w:rPr>
        <w:t>- Bước 6: Sở Kế hoạch và Đầu tư điều chỉnh Giấy chứng nhận đăng ký đầu tư cho nhà đầu tư trong thời hạn 03 ngày làm việc kể từ ngày nhận được văn bản quyết định điều chỉnh chủ trương đầu tư của Ủy ban nhân dân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hồ sơ hợp lệ, Sở Kế hoạch và Đầu tư gửi hồ sơ cho cơ quan nhà nước có thẩm quyền liên quan để lấy ý kiến về những nội dung điều chỉnh. - Trong thời hạn 10 ngày làm việc kể từ ngày nhận được đề nghị của Sở Kế hoạch và Đầu tư, các cơ quan được lấy ý kiến có ý kiến về nội dung điều chỉnh thuộc phạm vi quản lý của mình. - Trong thời hạn 05 ngày làm việc kể từ ngày nhận được ý kiến của cơ quan nêu trên, Sở Kế hoạch và Đầu tư lập báo cáo thẩm định về các nội dung điều chỉnh. - Trong thời hạn 05 ngày làm việc kể từ ngày nhận được báo cáo thẩm định của Sở Kế hoạch và Đầu tư, Ủy ban nhân dân cấp tỉnh quyết định điều chỉnh chủ trương đầu tư. - Sở Kế hoạch và Đầu tư điều chỉnh Giấy chứng nhận đăng ký đầu tư cho nhà đầu tư trong thời hạn 03 ngày làm việc kể từ ngày nhận được văn bản quyết định điều chỉnh chủ trương đầu tư của Ủy ban nhân dân cấp tỉnh.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Mau I-6_TT16_Dieu chinh DA DT thuoc dien chap thuan CT.docx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p>
            <w:pPr>
              <w:spacing w:after="0" w:before="0" w:lineRule="auto" w:line="276"/>
              <w:jc w:val="left"/>
            </w:pPr>
            <w:r>
              <w:rPr>
                <w:rFonts w:ascii="Times New Roman" w:hAnsi="Times New Roman" w:cs="Times New Roman" w:eastAsia="Times New Roman"/>
                <w:b w:val="false"/>
                <w:sz w:val="26"/>
              </w:rPr>
              <w:t>Mau I-8_TT16_BC tinh hinh thu hien DA DT.docx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về việc điều chỉnh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giấy tờ liên quan đến việc điều chỉnh những nội dung quy định tại các Điểm b, c, d, đ, e, g Khoản 1 Điều 33 Luật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(theo Mẫu II.3 ban hành kèm theo Thông tư số 16/2015/TT-BKHĐT).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118/2015/NĐ-CP</w:t>
            </w:r>
          </w:p>
        </w:tc>
        <w:tc>
          <w:p/>
          <w:p>
            <w:pPr>
              <w:spacing w:after="0" w:before="0" w:lineRule="auto" w:line="276"/>
              <w:jc w:val="left"/>
            </w:pPr>
            <w:r>
              <w:rPr>
                <w:rFonts w:ascii="Times New Roman" w:hAnsi="Times New Roman" w:cs="Times New Roman" w:eastAsia="Times New Roman"/>
                <w:b w:val="false"/>
                <w:sz w:val="26"/>
              </w:rPr>
              <w:t>Nghị định 118/2015/NĐ-CP</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16/2015/TT-BKHĐT</w:t>
            </w:r>
          </w:p>
        </w:tc>
        <w:tc>
          <w:p/>
          <w:p>
            <w:pPr>
              <w:spacing w:after="0" w:before="0" w:lineRule="auto" w:line="276"/>
              <w:jc w:val="left"/>
            </w:pPr>
            <w:r>
              <w:rPr>
                <w:rFonts w:ascii="Times New Roman" w:hAnsi="Times New Roman" w:cs="Times New Roman" w:eastAsia="Times New Roman"/>
                <w:b w:val="false"/>
                <w:sz w:val="26"/>
              </w:rPr>
              <w:t>Thông tư 16/2015/TT-BKHĐT</w:t>
            </w:r>
          </w:p>
        </w:tc>
        <w:tc>
          <w:p/>
          <w:p>
            <w:pPr>
              <w:spacing w:after="0" w:before="0" w:lineRule="auto" w:line="276"/>
              <w:jc w:val="left"/>
            </w:pPr>
            <w:r>
              <w:rPr>
                <w:rFonts w:ascii="Times New Roman" w:hAnsi="Times New Roman" w:cs="Times New Roman" w:eastAsia="Times New Roman"/>
                <w:b w:val="false"/>
                <w:sz w:val="26"/>
              </w:rPr>
              <w:t>18-11-2015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67/2014/QH13 -Đầu tư</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đầu tư (cá nhân và tổ chức) có dự án đầu tư được cấp Giấy chứng nhận đăng ký đầu tư thuộc diện UBND cấp tỉnh quyết định chủ trương đầu tư và nhà đầu tư điều chỉnh một hoặc một số nội dung trong các nội dung sau:
- Điều chỉnh mục tiêu, địa điểm đầu tư, công nghệ chính; 
- Điều chỉnh tăng hoặc giảm trên 10% tổng vốn đầu tư làm thay đổi mục tiêu, quy mô và công suất của dự án đầu tư; 
- Điều chỉnh thời hạn thực hiện của dự án đầu tư hoặc thay đổi điều kiện đối với nhà đầu tư (nếu có).
Thủ tục này cũng áp dụng đối với dự án đầu tư thuộc diện chấp thuận hoặc quyết định chủ trương đầu tư theo quy định của pháp luật trước thời điểm Luật đầu tư có hiệu lực thi hành (trước 01/7/2015) và đã được cơ quan nhà nước có thẩm quyền chấp thuận hoặc quyết định chủ trương đầu tư trước thời điểm Luật đầu tư có hiệu lực thi hành. Nay, nhà đầu tư điều chỉnh dự án đầu tư làm thay đổi nội dung văn bản quyết định hoặc chấp thuận chủ trương đầu tư (Khoản 5 Điều 63 Nghị định 118/2016/NĐ-CP).
Được UBND tỉnh quyết định điều chỉnh chủ trương đầu tư.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Điều chỉnh, Giấy chứng nhận, đăng ký đầu tư, đối với dự án đầu tư, thuộc diện điều chỉnh quyết định chủ trương đầu tư, của Ủy ban nhân dân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2026-05-19T11:26:53Z</dcterms:created>
  <dc:creator>Apache POI</dc:creator>
</cp:coreProperties>
</file>