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1.003956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53/QĐ-BNNMT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nhận và giao quyền quản lý cho tổ chức cộng đồng (thuộc địa bàn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nộp 01 bộ hồ sơ đề nghị công nhận và giao quyền quản lý cho tổ chức cộng đồng theo quy định đến Ủy ban nhân dân cấp xã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
- Trường hợp nộp hồ sơ bằng hình thức trực tiếp tại Bộ phận một cửa; hoặc thông qua dịch vụ bưu chính công ích theo quy định của Thủ tướng Chính phủ, qua thuê dịch vụ của doanh nghiệp, cá nhân hoặc qua ủy quyền theo quy định của pháp luật, các thành phần hồ sơ là bản gốc hoặc bản chính hoặc bản sao y hoặc bản sao chứng thực;
- Trường hợp nộp hồ sơ bằng hình thức trực tuyến tại Cổng Dịch vụ công quốc gia, các thành phần hồ sơ là bản gốc được xác lập trên môi trường điện tử hoặc bản gốc, bản chính được scan theo quy định;
b) Ủy ban nhân dân cấp xã trả lời ngay tính đầy đủ của hồ sơ đối với trường hợp nộp trực tiếp tại Bộ phận một cửa; trả lời tính đầy đủ của hồ sơ trong 01 ngày làm việc đối với trường hợp nộp hồ sơ thông qua dịch vụ bưu chính công ích theo quy định của Thủ tướng Chính phủ, qua thuê dịch vụ của doanh nghiệp, cá nhân hoặc qua ủy quyền theo quy định của pháp luật và nộp hồ sơ trực tuyến tại Cổng Dịch vụ công quốc gia;
c) Trong thời hạn 02 ngày làm việc kể từ ngày nhận được hồ sơ đầy đủ, cơ quan chuyên môn về nông nghiệp và môi trường cấp xã thông báo Phương án bảo vệ và khai thác nguồn lợi thủy sản trên phương tiện thông tin đại chúng, niêm yết công khai tại trụ sở Ủy ban nhân dân cấp xã và khu dân cư nơi dự kiến thực hiện đồng quản lý; 
d) Trong thời hạn 30 ngày làm việc kể từ ngày thông báo, cơ quan chuyên môn về nông nghiệp và môi trường cấp xã tổ chức thẩm định hồ sơ và trình Chủ tịch Ủy ban nhân dân cấp xã xem xét, quyết định;
đ) Trong thời hạn 03 ngày làm việc kể từ ngày nhận được hồ sơ trình, Chủ tịch Uỷ ban nhân dân cấp xã quyết định công nhận và giao quyền quản lý cho tổ chức cộng đồng. Trường hợp không công nhận và không giao quyền quản lý cho tổ chức cộng đồng thì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Thông báo Phương án bảo vệ và khai thác nguồn lợi thủy sản: 02 ngày làm việc kể từ ngày nhận được hồ sơ đầy đủ; b) Thẩm định hồ sơ và trình Chủ tịch Ủy ban nhân dân cấp xã xem xét, quyết định: 33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Trực tiếp tại Bộ phận Một cửa; hoặc thông qua dịch vụ bưu chính công ích theo quy định của Thủ tướng Chính phủ, qua thuê dịch vụ của doanh nghiệp, cá nhân hoặc qua ủy quyền theo quy định của pháp luật; hoặc trực tuyến tại Cổng Dịch vụ công quốc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công nhận và giao quyền quản lý cho tổ chức cộng đồng theo Mẫu số 01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Phương án bảo vệ và khai thác nguồn lợi thủy sản tại khu vực dự kiến thực hiện đồng quản lý theo Mẫu số 02 Phụ lục I ban hành kèm theo Thông tư số 88/2025/TT-BNNMT</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Quy chế hoạt động của tổ chức cộng đồng theo Mẫu số 03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Biên bản họp tổ chức cộng đồng theo Mẫu số 04 Phụ lục I ban hành kèm theo Thông tư số 88/2025/TT-BNNMT ngày 31/12/2025</w:t>
            </w:r>
          </w:p>
        </w:tc>
        <w:tc>
          <w:p/>
          <w:p>
            <w:pPr>
              <w:spacing w:after="0" w:before="0" w:lineRule="auto" w:line="276"/>
              <w:jc w:val="left"/>
            </w:pPr>
            <w:r>
              <w:rPr>
                <w:rFonts w:ascii="Times New Roman" w:hAnsi="Times New Roman" w:cs="Times New Roman" w:eastAsia="Times New Roman"/>
                <w:b w:val="false"/>
                <w:sz w:val="26"/>
              </w:rPr>
              <w:t>Mus04.docx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định công nhận và giao quyền quản lý cho tổ chức cộng đồng thực hiện đồng quản lý trong bảo vệ nguồn lợi thủy sản theo Mẫu số 05 Phụ lục I ban hành kèm theo Thông tư số 88/2025/TT-BNNMT ngày 31/12/2025</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Luật 18/2017/QH14</w:t>
            </w:r>
          </w:p>
        </w:tc>
        <w:tc>
          <w:p/>
          <w:p>
            <w:pPr>
              <w:spacing w:after="0" w:before="0" w:lineRule="auto" w:line="276"/>
              <w:jc w:val="left"/>
            </w:pPr>
            <w:r>
              <w:rPr>
                <w:rFonts w:ascii="Times New Roman" w:hAnsi="Times New Roman" w:cs="Times New Roman" w:eastAsia="Times New Roman"/>
                <w:b w:val="false"/>
                <w:sz w:val="26"/>
              </w:rPr>
              <w:t>21-11-2017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88/2025/TT-BNNMT</w:t>
            </w:r>
          </w:p>
        </w:tc>
        <w:tc>
          <w:p/>
          <w:p>
            <w:pPr>
              <w:spacing w:after="0" w:before="0" w:lineRule="auto" w:line="276"/>
              <w:jc w:val="left"/>
            </w:pPr>
            <w:r>
              <w:rPr>
                <w:rFonts w:ascii="Times New Roman" w:hAnsi="Times New Roman" w:cs="Times New Roman" w:eastAsia="Times New Roman"/>
                <w:b w:val="false"/>
                <w:sz w:val="26"/>
              </w:rPr>
              <w:t>Thông tư</w:t>
            </w:r>
          </w:p>
        </w:tc>
        <w:tc>
          <w:p/>
          <w:p>
            <w:pPr>
              <w:spacing w:after="0" w:before="0" w:lineRule="auto" w:line="276"/>
              <w:jc w:val="left"/>
            </w:pPr>
            <w:r>
              <w:rPr>
                <w:rFonts w:ascii="Times New Roman" w:hAnsi="Times New Roman" w:cs="Times New Roman" w:eastAsia="Times New Roman"/>
                <w:b w:val="false"/>
                <w:sz w:val="26"/>
              </w:rPr>
              <w:t>31-12-2025</w:t>
            </w:r>
          </w:p>
        </w:tc>
        <w:tc>
          <w:p/>
          <w:p>
            <w:pPr>
              <w:spacing w:after="0" w:before="0" w:lineRule="auto" w:line="276"/>
              <w:jc w:val="left"/>
            </w:pPr>
            <w:r>
              <w:rPr>
                <w:rFonts w:ascii="Times New Roman" w:hAnsi="Times New Roman" w:cs="Times New Roman" w:eastAsia="Times New Roman"/>
                <w:b w:val="false"/>
                <w:sz w:val="26"/>
              </w:rPr>
              <w:t>Bộ Nông nghiệp và Môi trường</w:t>
            </w:r>
          </w:p>
        </w:tc>
      </w:tr>
      <w:tr>
        <w:tc>
          <w:p/>
          <w:p>
            <w:pPr>
              <w:spacing w:after="0" w:before="0" w:lineRule="auto" w:line="276"/>
              <w:jc w:val="left"/>
            </w:pPr>
            <w:r>
              <w:rPr>
                <w:rFonts w:ascii="Times New Roman" w:hAnsi="Times New Roman" w:cs="Times New Roman" w:eastAsia="Times New Roman"/>
                <w:b w:val="false"/>
                <w:sz w:val="26"/>
              </w:rPr>
              <w:t>Luật số 146/2025/QH15</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2026-05-26T21:07:58Z</dcterms:created>
  <dc:creator>Apache POI</dc:creator>
</cp:coreProperties>
</file>