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liên quan đến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đơn</w:t>
      </w:r>
    </w:p>
    <w:p>
      <w:pPr>
        <w:spacing w:after="0" w:before="0" w:lineRule="auto" w:line="276"/>
        <w:jc w:val="both"/>
      </w:pPr>
      <w:r>
        <w:rPr>
          <w:rFonts w:ascii="Times New Roman" w:hAnsi="Times New Roman" w:cs="Times New Roman" w:eastAsia="Times New Roman"/>
          <w:b w:val="false"/>
          <w:sz w:val="26"/>
        </w:rPr>
        <w:t>Đơn khiếu nại có thể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Thụ lý đơn khiếu nại</w:t>
      </w:r>
    </w:p>
    <w:p>
      <w:pPr>
        <w:spacing w:after="0" w:before="0" w:lineRule="auto" w:line="276"/>
        <w:jc w:val="both"/>
      </w:pPr>
      <w:r>
        <w:rPr>
          <w:rFonts w:ascii="Times New Roman" w:hAnsi="Times New Roman" w:cs="Times New Roman" w:eastAsia="Times New Roman"/>
          <w:b w:val="false"/>
          <w:sz w:val="26"/>
        </w:rPr>
        <w:t>+ Kiểm tra đơn theo các yêu cầu về hình thức (lý do khiếu nại, quyết định bị khiếu nại, thời hạn khiếu nại, người khiếu nại, người có quyền lợi liên quan), và thông báo bằng văn bản cho người khiếu nại về việc thụ lý/không thụ lý đơn khiếu nại (có nêu rõ lý do).</w:t>
      </w:r>
    </w:p>
    <w:p>
      <w:pPr>
        <w:spacing w:after="0" w:before="0" w:lineRule="auto" w:line="276"/>
        <w:jc w:val="both"/>
      </w:pPr>
      <w:r>
        <w:rPr>
          <w:rFonts w:ascii="Times New Roman" w:hAnsi="Times New Roman" w:cs="Times New Roman" w:eastAsia="Times New Roman"/>
          <w:b w:val="false"/>
          <w:sz w:val="26"/>
        </w:rPr>
        <w:t>Bước 3: Giải quyết khiếu nại</w:t>
      </w:r>
    </w:p>
    <w:p>
      <w:pPr>
        <w:spacing w:after="0" w:before="0" w:lineRule="auto" w:line="276"/>
        <w:jc w:val="both"/>
      </w:pPr>
      <w:r>
        <w:rPr>
          <w:rFonts w:ascii="Times New Roman" w:hAnsi="Times New Roman" w:cs="Times New Roman" w:eastAsia="Times New Roman"/>
          <w:b w:val="false"/>
          <w:sz w:val="26"/>
        </w:rPr>
        <w:t>+ Thông báo bằng văn bản nội dung khiếu nại cho người có quyền, lợi ích liên quan và ấn định thời hạn trả lời.</w:t>
      </w:r>
    </w:p>
    <w:p>
      <w:pPr>
        <w:spacing w:after="0" w:before="0" w:lineRule="auto" w:line="276"/>
        <w:jc w:val="both"/>
      </w:pPr>
      <w:r>
        <w:rPr>
          <w:rFonts w:ascii="Times New Roman" w:hAnsi="Times New Roman" w:cs="Times New Roman" w:eastAsia="Times New Roman"/>
          <w:b w:val="false"/>
          <w:sz w:val="26"/>
        </w:rPr>
        <w:t>+ Thông báo cho người khiếu nại và bên liên quan về những lập luận và chứng cứ của bên kia được sử dụng để giải quyết khiếu nại cũng như kết luận giải quyết khiếu nại.</w:t>
      </w:r>
    </w:p>
    <w:p>
      <w:pPr>
        <w:spacing w:after="0" w:before="0" w:lineRule="auto" w:line="276"/>
        <w:jc w:val="both"/>
      </w:pPr>
      <w:r>
        <w:rPr>
          <w:rFonts w:ascii="Times New Roman" w:hAnsi="Times New Roman" w:cs="Times New Roman" w:eastAsia="Times New Roman"/>
          <w:b w:val="false"/>
          <w:sz w:val="26"/>
        </w:rPr>
        <w:t>+ Ra quyết định giải quyết khiếu nại: căn cứ vào lập luận, chứng cứ của người khiếu nại và bên liên quan, Cục Sở hữu trí tuệ ra quyết định giải quyết khiếu nại.</w:t>
      </w:r>
    </w:p>
    <w:p>
      <w:pPr>
        <w:spacing w:after="0" w:before="0" w:lineRule="auto" w:line="276"/>
        <w:jc w:val="both"/>
      </w:pPr>
      <w:r>
        <w:rPr>
          <w:rFonts w:ascii="Times New Roman" w:hAnsi="Times New Roman" w:cs="Times New Roman" w:eastAsia="Times New Roman"/>
          <w:b w:val="false"/>
          <w:sz w:val="26"/>
        </w:rPr>
        <w:t>+ Công bố quyết định: quyết định giải quyết khiếu nại được công bố trên Công báo sở hữu công nghiệp trong thời hạn 02 tháng kể từ ngày ký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 làm việc</w:t>
            </w:r>
          </w:p>
        </w:tc>
        <w:tc>
          <w:p/>
          <w:p>
            <w:pPr>
              <w:spacing w:after="0" w:before="0" w:lineRule="auto" w:line="276"/>
              <w:jc w:val="left"/>
            </w:pPr>
            <w:r>
              <w:rPr>
                <w:rFonts w:ascii="Times New Roman" w:hAnsi="Times New Roman" w:cs="Times New Roman" w:eastAsia="Times New Roman"/>
                <w:b w:val="false"/>
                <w:sz w:val="26"/>
              </w:rPr>
              <w:t xml:space="preserve">Phí : 550.000 đồng nếu đơn nhãn hiệu có trên 6 sản phẩm/dịch vụ trong một nhóm, phải nộp thêm cho mỗi sản phẩm/dịch vụ từ thứ 7 trở đi: 120.000 đồng </w:t>
              <w:t xml:space="preserve"> (Phí thẩm định, trưng cầu giám định các đối tượng sở hữu công nghiệp: Nhãn hiệu:)</w:t>
            </w:r>
          </w:p>
          <w:p>
            <w:pPr>
              <w:spacing w:after="0" w:before="0" w:lineRule="auto" w:line="276"/>
              <w:jc w:val="left"/>
            </w:pPr>
            <w:r>
              <w:rPr>
                <w:rFonts w:ascii="Times New Roman" w:hAnsi="Times New Roman" w:cs="Times New Roman" w:eastAsia="Times New Roman"/>
                <w:b w:val="false"/>
                <w:sz w:val="26"/>
              </w:rPr>
              <w:t xml:space="preserve">Phí : 480.000 đồng (mỗi phương án) </w:t>
              <w:t xml:space="preserve"> (- Phí tra cứu thông tin nhằm phục vụ việc thẩm định phục vụ cho việc giải quyết khiếu nại: Kiểu dáng công nghiệp:)</w:t>
            </w:r>
          </w:p>
          <w:p>
            <w:pPr>
              <w:spacing w:after="0" w:before="0" w:lineRule="auto" w:line="276"/>
              <w:jc w:val="left"/>
            </w:pPr>
            <w:r>
              <w:rPr>
                <w:rFonts w:ascii="Times New Roman" w:hAnsi="Times New Roman" w:cs="Times New Roman" w:eastAsia="Times New Roman"/>
                <w:b w:val="false"/>
                <w:sz w:val="26"/>
              </w:rPr>
              <w:t xml:space="preserve">Phí : 700.000 đồng (mỗi phương án) </w:t>
              <w:t xml:space="preserve"> (Phí thẩm định, trưng cầu giám định các đối tượng sở hữu công nghiệp: Kiểu dáng công nghiệp:)</w:t>
            </w:r>
          </w:p>
          <w:p>
            <w:pPr>
              <w:spacing w:after="0" w:before="0" w:lineRule="auto" w:line="276"/>
              <w:jc w:val="left"/>
            </w:pPr>
            <w:r>
              <w:rPr>
                <w:rFonts w:ascii="Times New Roman" w:hAnsi="Times New Roman" w:cs="Times New Roman" w:eastAsia="Times New Roman"/>
                <w:b w:val="false"/>
                <w:sz w:val="26"/>
              </w:rPr>
              <w:t xml:space="preserve">Phí : 900.000 đồng(mỗi điểm yêu cầu bảo hộ độc lập) </w:t>
              <w:t xml:space="preserve"> (Phí thẩm định, trưng cầu giám định các đối tượng sở hữu công nghiệp: Sáng chế (bao gồm cả giải pháp hữu ích):)</w:t>
            </w:r>
          </w:p>
          <w:p>
            <w:pPr>
              <w:spacing w:after="0" w:before="0" w:lineRule="auto" w:line="276"/>
              <w:jc w:val="left"/>
            </w:pPr>
            <w:r>
              <w:rPr>
                <w:rFonts w:ascii="Times New Roman" w:hAnsi="Times New Roman" w:cs="Times New Roman" w:eastAsia="Times New Roman"/>
                <w:b w:val="false"/>
                <w:sz w:val="26"/>
              </w:rPr>
              <w:t xml:space="preserve">Phí : 600.000 đồng (mỗi điểm yêu cầu bảo hộ độc lập) </w:t>
              <w:t xml:space="preserve"> (- Phí tra cứu thông tin nhằm phục vụ việc thẩm định phục vụ cho việc giải quyết khiếu nại: + Sáng chế (bao gồm cả giải pháp hữu ích):)</w:t>
            </w:r>
          </w:p>
          <w:p>
            <w:pPr>
              <w:spacing w:after="0" w:before="0" w:lineRule="auto" w:line="276"/>
              <w:jc w:val="left"/>
            </w:pPr>
            <w:r>
              <w:rPr>
                <w:rFonts w:ascii="Times New Roman" w:hAnsi="Times New Roman" w:cs="Times New Roman" w:eastAsia="Times New Roman"/>
                <w:b w:val="false"/>
                <w:sz w:val="26"/>
              </w:rPr>
              <w:t>Phí : 180.000 Đồng</w:t>
              <w:t xml:space="preserve"> (- Phí tra cứu thông tin nhằm phục vụ việc thẩm định phục vụ cho việc giải quyết khiếu nại: Chỉ dẫn địa lý (bao gồm cả tên gọi xuất xứ hàng hoá):)</w:t>
            </w:r>
          </w:p>
          <w:p>
            <w:pPr>
              <w:spacing w:after="0" w:before="0" w:lineRule="auto" w:line="276"/>
              <w:jc w:val="left"/>
            </w:pPr>
            <w:r>
              <w:rPr>
                <w:rFonts w:ascii="Times New Roman" w:hAnsi="Times New Roman" w:cs="Times New Roman" w:eastAsia="Times New Roman"/>
                <w:b w:val="false"/>
                <w:sz w:val="26"/>
              </w:rPr>
              <w:t xml:space="preserve">Phí : 180.000 đồng </w:t>
              <w:t xml:space="preserve"> (Phí thẩm định, trưng cầu giám định các đối tượng sở hữu công nghiệp: Thiết kế bố trí mạch tích hợp:)</w:t>
            </w:r>
          </w:p>
          <w:p>
            <w:pPr>
              <w:spacing w:after="0" w:before="0" w:lineRule="auto" w:line="276"/>
              <w:jc w:val="left"/>
            </w:pPr>
            <w:r>
              <w:rPr>
                <w:rFonts w:ascii="Times New Roman" w:hAnsi="Times New Roman" w:cs="Times New Roman" w:eastAsia="Times New Roman"/>
                <w:b w:val="false"/>
                <w:sz w:val="26"/>
              </w:rPr>
              <w:t xml:space="preserve">Phí : 1.200.000 đồng </w:t>
              <w:t xml:space="preserve"> (Phí thẩm định, trưng cầu giám định các đối tượng sở hữu công nghiệp: Chỉ dẫn địa lý (bao gồm cả tên gọi xuất xứ hàng hoá):)</w:t>
            </w:r>
          </w:p>
          <w:p>
            <w:pPr>
              <w:spacing w:after="0" w:before="0" w:lineRule="auto" w:line="276"/>
              <w:jc w:val="left"/>
            </w:pPr>
            <w:r>
              <w:rPr>
                <w:rFonts w:ascii="Times New Roman" w:hAnsi="Times New Roman" w:cs="Times New Roman" w:eastAsia="Times New Roman"/>
                <w:b w:val="false"/>
                <w:sz w:val="26"/>
              </w:rPr>
              <w:t xml:space="preserve">Phí : 180.000 đồng, nếu đơn nhãn hiệu có trên 6 sản phẩm/dịch vụ trong một nhóm, phải nộp thêm cho mỗi sản phẩm/dịch vụ từ thứ 7 trở đi: 30.000 đồng </w:t>
              <w:t xml:space="preserve"> (- Phí tra cứu thông tin nhằm phục vụ việc thẩm định phục vụ cho việc giải quyết khiếu nại: Nhãn hiệu:)</w:t>
            </w:r>
          </w:p>
        </w:tc>
        <w:tc>
          <w:p/>
          <w:p>
            <w:pPr>
              <w:spacing w:after="0" w:before="0" w:lineRule="auto" w:line="276"/>
              <w:jc w:val="left"/>
            </w:pPr>
            <w:r>
              <w:rPr>
                <w:rFonts w:ascii="Times New Roman" w:hAnsi="Times New Roman" w:cs="Times New Roman" w:eastAsia="Times New Roman"/>
                <w:b w:val="false"/>
                <w:sz w:val="26"/>
              </w:rPr>
              <w:t>- 10 ngày để ra thông báo thụ lý hoặc không thụ lý hồ sơ kể từ ngày tiếp nhận hồ sơ.
   - 30 ngày kể từ ngày ra thông báo để người có quyền, lợi ích liên quan trực tiếp có ý kiến.
   - 30 ngày kể từ ngày thụ lý; đối với vụ việc phức tạp thì thời hạn này là 45 ngày (đối với khiếu nại lần thứ nhất);
   - 45 ngày kể từ ngày thụ lý; đối với vụ việc phức tạp thì thời hạn này là 60 ngày (đối với khiếu nại lần thứ hai).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115 Ngày làm việc</w:t>
            </w:r>
          </w:p>
        </w:tc>
        <w:tc>
          <w:p/>
          <w:p>
            <w:pPr>
              <w:spacing w:after="0" w:before="0" w:lineRule="auto" w:line="276"/>
              <w:jc w:val="left"/>
            </w:pPr>
            <w:r>
              <w:rPr>
                <w:rFonts w:ascii="Times New Roman" w:hAnsi="Times New Roman" w:cs="Times New Roman" w:eastAsia="Times New Roman"/>
                <w:b w:val="false"/>
                <w:sz w:val="26"/>
              </w:rPr>
              <w:t xml:space="preserve">Phí : 550.000 đồng nếu đơn nhãn hiệu có trên 6 sản phẩm/dịch vụ trong một nhóm, phải nộp thêm cho mỗi sản phẩm/dịch vụ từ thứ 7 trở đi: 120.000 đồng </w:t>
              <w:t xml:space="preserve"> (Phí thẩm định, trưng cầu giám định các đối tượng sở hữu công nghiệp: Nhãn hiệu:)</w:t>
            </w:r>
          </w:p>
          <w:p>
            <w:pPr>
              <w:spacing w:after="0" w:before="0" w:lineRule="auto" w:line="276"/>
              <w:jc w:val="left"/>
            </w:pPr>
            <w:r>
              <w:rPr>
                <w:rFonts w:ascii="Times New Roman" w:hAnsi="Times New Roman" w:cs="Times New Roman" w:eastAsia="Times New Roman"/>
                <w:b w:val="false"/>
                <w:sz w:val="26"/>
              </w:rPr>
              <w:t xml:space="preserve">Phí : 480.000 đồng (mỗi phương án) </w:t>
              <w:t xml:space="preserve"> (- Phí tra cứu thông tin nhằm phục vụ việc thẩm định phục vụ cho việc giải quyết khiếu nại: Kiểu dáng công nghiệp:)</w:t>
            </w:r>
          </w:p>
          <w:p>
            <w:pPr>
              <w:spacing w:after="0" w:before="0" w:lineRule="auto" w:line="276"/>
              <w:jc w:val="left"/>
            </w:pPr>
            <w:r>
              <w:rPr>
                <w:rFonts w:ascii="Times New Roman" w:hAnsi="Times New Roman" w:cs="Times New Roman" w:eastAsia="Times New Roman"/>
                <w:b w:val="false"/>
                <w:sz w:val="26"/>
              </w:rPr>
              <w:t xml:space="preserve">Phí : 700.000 đồng (mỗi phương án) </w:t>
              <w:t xml:space="preserve"> (Phí thẩm định, trưng cầu giám định các đối tượng sở hữu công nghiệp: Kiểu dáng công nghiệp:)</w:t>
            </w:r>
          </w:p>
          <w:p>
            <w:pPr>
              <w:spacing w:after="0" w:before="0" w:lineRule="auto" w:line="276"/>
              <w:jc w:val="left"/>
            </w:pPr>
            <w:r>
              <w:rPr>
                <w:rFonts w:ascii="Times New Roman" w:hAnsi="Times New Roman" w:cs="Times New Roman" w:eastAsia="Times New Roman"/>
                <w:b w:val="false"/>
                <w:sz w:val="26"/>
              </w:rPr>
              <w:t xml:space="preserve">Phí : 900.000 đồng(mỗi điểm yêu cầu bảo hộ độc lập) </w:t>
              <w:t xml:space="preserve"> (Phí thẩm định, trưng cầu giám định các đối tượng sở hữu công nghiệp: Sáng chế (bao gồm cả giải pháp hữu ích):)</w:t>
            </w:r>
          </w:p>
          <w:p>
            <w:pPr>
              <w:spacing w:after="0" w:before="0" w:lineRule="auto" w:line="276"/>
              <w:jc w:val="left"/>
            </w:pPr>
            <w:r>
              <w:rPr>
                <w:rFonts w:ascii="Times New Roman" w:hAnsi="Times New Roman" w:cs="Times New Roman" w:eastAsia="Times New Roman"/>
                <w:b w:val="false"/>
                <w:sz w:val="26"/>
              </w:rPr>
              <w:t xml:space="preserve">Phí : 600.000 đồng (mỗi điểm yêu cầu bảo hộ độc lập) </w:t>
              <w:t xml:space="preserve"> (- Phí tra cứu thông tin nhằm phục vụ việc thẩm định phục vụ cho việc giải quyết khiếu nại: + Sáng chế (bao gồm cả giải pháp hữu ích):)</w:t>
            </w:r>
          </w:p>
          <w:p>
            <w:pPr>
              <w:spacing w:after="0" w:before="0" w:lineRule="auto" w:line="276"/>
              <w:jc w:val="left"/>
            </w:pPr>
            <w:r>
              <w:rPr>
                <w:rFonts w:ascii="Times New Roman" w:hAnsi="Times New Roman" w:cs="Times New Roman" w:eastAsia="Times New Roman"/>
                <w:b w:val="false"/>
                <w:sz w:val="26"/>
              </w:rPr>
              <w:t>Phí : 180.000 Đồng</w:t>
              <w:t xml:space="preserve"> (- Phí tra cứu thông tin nhằm phục vụ việc thẩm định phục vụ cho việc giải quyết khiếu nại: Chỉ dẫn địa lý (bao gồm cả tên gọi xuất xứ hàng hoá):)</w:t>
            </w:r>
          </w:p>
          <w:p>
            <w:pPr>
              <w:spacing w:after="0" w:before="0" w:lineRule="auto" w:line="276"/>
              <w:jc w:val="left"/>
            </w:pPr>
            <w:r>
              <w:rPr>
                <w:rFonts w:ascii="Times New Roman" w:hAnsi="Times New Roman" w:cs="Times New Roman" w:eastAsia="Times New Roman"/>
                <w:b w:val="false"/>
                <w:sz w:val="26"/>
              </w:rPr>
              <w:t xml:space="preserve">Phí : 180.000 đồng </w:t>
              <w:t xml:space="preserve"> (Phí thẩm định, trưng cầu giám định các đối tượng sở hữu công nghiệp: Thiết kế bố trí mạch tích hợp:)</w:t>
            </w:r>
          </w:p>
          <w:p>
            <w:pPr>
              <w:spacing w:after="0" w:before="0" w:lineRule="auto" w:line="276"/>
              <w:jc w:val="left"/>
            </w:pPr>
            <w:r>
              <w:rPr>
                <w:rFonts w:ascii="Times New Roman" w:hAnsi="Times New Roman" w:cs="Times New Roman" w:eastAsia="Times New Roman"/>
                <w:b w:val="false"/>
                <w:sz w:val="26"/>
              </w:rPr>
              <w:t xml:space="preserve">Phí : 1.200.000 đồng </w:t>
              <w:t xml:space="preserve"> (Phí thẩm định, trưng cầu giám định các đối tượng sở hữu công nghiệp: Chỉ dẫn địa lý (bao gồm cả tên gọi xuất xứ hàng hoá):)</w:t>
            </w:r>
          </w:p>
          <w:p>
            <w:pPr>
              <w:spacing w:after="0" w:before="0" w:lineRule="auto" w:line="276"/>
              <w:jc w:val="left"/>
            </w:pPr>
            <w:r>
              <w:rPr>
                <w:rFonts w:ascii="Times New Roman" w:hAnsi="Times New Roman" w:cs="Times New Roman" w:eastAsia="Times New Roman"/>
                <w:b w:val="false"/>
                <w:sz w:val="26"/>
              </w:rPr>
              <w:t xml:space="preserve">Phí : 180.000 đồng, nếu đơn nhãn hiệu có trên 6 sản phẩm/dịch vụ trong một nhóm, phải nộp thêm cho mỗi sản phẩm/dịch vụ từ thứ 7 trở đi: 30.000 đồng </w:t>
              <w:t xml:space="preserve"> (- Phí tra cứu thông tin nhằm phục vụ việc thẩm định phục vụ cho việc giải quyết khiếu nại: Nhãn hiệu:)</w:t>
            </w:r>
          </w:p>
        </w:tc>
        <w:tc>
          <w:p/>
          <w:p>
            <w:pPr>
              <w:spacing w:after="0" w:before="0" w:lineRule="auto" w:line="276"/>
              <w:jc w:val="left"/>
            </w:pPr>
            <w:r>
              <w:rPr>
                <w:rFonts w:ascii="Times New Roman" w:hAnsi="Times New Roman" w:cs="Times New Roman" w:eastAsia="Times New Roman"/>
                <w:b w:val="false"/>
                <w:sz w:val="26"/>
              </w:rPr>
              <w:t>- 10 ngày để ra thông báo thụ lý hoặc không thụ lý hồ sơ kể từ ngày tiếp nhận hồ sơ.
   - 30 ngày kể từ ngày ra thông báo để người có quyền, lợi ích liên quan trực tiếp có ý kiến.
   - 30 ngày kể từ ngày thụ lý; đối với vụ việc phức tạp thì thời hạn này là 45 ngày (đối với khiếu nại lần thứ nhất);
   - 45 ngày kể từ ngày thụ lý; đối với vụ việc phức tạp thì thời hạn này là 60 ngày (đối với khiếu nại lần thứ hai).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C.05 khieu nai.doc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giải quyết khiếu nại lần thứ nhất (đối với khiếu nại lần thứ hai);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uỷ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giải trình lý do khiếu nại và chứng cớ chứng minh lý lẽ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hoặc thông báo bị khiếu nại của Cục Sở hữu trí tuệ và bản sao đơn đăng ký sở hữu công nghiệp là đối tượng của quyết định hoặc thông báo đó (trong trường hợp người nộp đơn khiếu nại lần hai); hoặc tài liệu chỉ dẫn thông tin về các tài liệu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thụ lý đơn khiếu nại, Thông báo từ chối thụ lý đơn khiếu nại, Quyết định giải quyết khiếu nại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khiếu nại liên quan đến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2026-04-30T10:09:57Z</dcterms:created>
  <dc:creator>Apache POI</dc:creator>
</cp:coreProperties>
</file>