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Tàu biển nhập cảnh tại cảng dầu khí ngoài khơi và hoạt động trong vùng biển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Thông báo tàu đến cảng: Trước khi tàu đến vị trí dự kiến đến cảng người làm thủ tục gửi cho Cảng vụ hàng hải/Cảng vụ đường thủy nội địa nơi tàu đến các thông tin dưới đây:
+ Bản khai an ninh tàu biển theo mẫu: Đối với tàu biển chở hàng có tổng dung tích từ 500 trở lên, tàu chở khách và giàn khoan di động ngoài khơi hoạt động tuyến quốc tế, chậm nhất 24 giờ trước khi tàu dự kiến đến vị trí dự kiến đến cảng;
+ Thông báo tàu biển đến cảng biển (theo mẫu Bản khai chung): Chậm nhất 08 giờ trước khi tàu đến vị trí dự kiến đến cảng; trường hợp tàu thuyền di chuyển giữa các cảng biển Việt Nam hoặc khu vực hàng hải không quá 20 hải lý thì chậm nhất 02 giờ trước khi tàu thuyền đến vị trí đến cảng. Tàu biển, tàu quân sự, tàu biển có động cơ chạy bằng năng lượng hạt nhân, tàu vận chuyển chất phóng xạ, tàu biển đến theo lời mời của Chính phủ nước Cộng hòa xã hội chủ nghĩa Việt Nam thông báo chậm nhất 24 giờ trước khi tàu dự kiến vị trí dự kiến đến cảng.
- Xác báo tàu đến cảng:
+ Tàu biển đến vị trí dự kiến đến cảng sớm hoặc muộn hơn 02 giờ so với thời gian trong thông báo tàu đến cảng biển phải thực hiện xác báo cho Cảng vụ hàng hải/Cảng vụ đường thủy nội địa biết chính xác thời gian tàu đến vị trí dự kiến theo mẫu;
+ Trường hợp tàu biển có người ốm, người chết, người cứu vớt được trên biển hoặc có người trốn trên tàu, tàu biển phải thực hiện xác báo cho Cảng vụ hàng hải/Cảng vụ đường thủy nội địa biết chính xác thời gian tàu đến vị trí dự kiến, các thông tin về tên, tuổi, quốc tịch, tình trạng bệnh tật, lý do tử vong và các yêu cầu liên quan khác theo mẫu.
- Chậm nhất 12 giờ, sau khi trở lại bờ, người làm thủ tục có trách nhiệm nộp đầy đủ các giấy tờ theo quy định. Đối với giấy tờ phải xuất trình, nộp bản sao có chữ ký xác nhận của thuyền trưởng và đóng dấu của tàu.
- Thời hạn làm thủ tục cho tàu thuyền vào cảng dầu khí ngoài khơi và hoạt động trong vùng biển Việt Nam được coi là kết thúc khi đại lý của chủ tàu nộp cho các các cơ quan lý nhà nước chuyên ngành đầy đủ hồ sơ, giấy tờ theo quy định tại trụ sở Cảng vụ hảng hải/Cảng vụ đường thủy nội địa.</w:t>
      </w:r>
    </w:p>
    <w:p>
      <w:pPr>
        <w:spacing w:after="0" w:before="0" w:lineRule="auto" w:line="276"/>
        <w:jc w:val="both"/>
      </w:pPr>
      <w:r>
        <w:rPr>
          <w:rFonts w:ascii="Times New Roman" w:hAnsi="Times New Roman" w:cs="Times New Roman" w:eastAsia="Times New Roman"/>
          <w:b w:val="false"/>
          <w:sz w:val="26"/>
        </w:rPr>
        <w:t>b) Giải quyết TTHC:
- Cảng vụ hàng hải/Cảng vụ đường thủy nội địa sao các giấy tờ người làm thủ tục nộp gửi các cơ quan quản lý nhà nước chuyên ngành có liên quan để làm thủ tục cho tàu thuyền:
+ Cảng vụ hàng hải/Cảng vụ đường thủy nội địa xử lý, giải quyết hồ sơ đối với tàu thuyền, giấy chứng nhận khả năng chuyên môn của thuyền viên và là cơ quan quyết định cuối cùng cho tàu thuyền nhập cảnh;
+ Hải quan cửa khẩu xử lý, giải quyết hồ sơ đối với hàng hóa, hành lý, nguyên, nhiên vật liệu trên tàu;
+ Biên phòng cửa khẩu xử lý, giải quyết hồ sơ đối với thuyền viên, hành khách, người đi theo tàu, người trốn trên tàu và người lên, xuống tàu;
+ Kiểm dịch y tế xử lý, giải quyết hồ sơ đối với bệnh dịch liên quan đến con người;
+ Kiểm dịch động vật xử lý, giải quyết hồ sơ đối với động vật trên tàu;
+ Kiểm dịch thực vật xử lý, giải quyết hồ sơ đối với thực vật chở trên tàu.
- Cảng vụ hàng hải/Cảng vụ đường thủy nội địa điều động tàu vào cảng cho người làm thủ tục sau khi nhận đủ các giấy tờ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Thông tư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Lệ phí : theo quy định tại Điều 11 Thông tư số 261/2016/TT-BTC ngày 14/11/2016 của Bộ trưởng Bộ Tài chính </w:t>
              <w:t xml:space="preserve"> (Lệ phí vào cảng biển)</w:t>
            </w:r>
          </w:p>
        </w:tc>
        <w:tc>
          <w:p/>
          <w:p>
            <w:pPr>
              <w:spacing w:after="0" w:before="0" w:lineRule="auto" w:line="276"/>
              <w:jc w:val="left"/>
            </w:pPr>
            <w:r>
              <w:rPr>
                <w:rFonts w:ascii="Times New Roman" w:hAnsi="Times New Roman" w:cs="Times New Roman" w:eastAsia="Times New Roman"/>
                <w:b w:val="false"/>
                <w:sz w:val="26"/>
              </w:rPr>
              <w:t>Thời hạn làm thủ tục cho tàu thuyền nhập cảnh cảng dầu khí ngoài khơi và hoạt động trong vùng biển Việt Nam được coi là kết thúc khi đại lý của chủ tàu nộp cho các cơ quan quản lý nhà nước chuyên ngành đầy đủ hồ sơ, giấy tờ theo quy định tại trụ sở Cảng vụ hàng hải/Cảng vụ đường thủy nội địa.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Thông tư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Lệ phí : theo quy định tại Điều 11 Thông tư số 261/2016/TT-BTC ngày 14/11/2016 của Bộ trưởng Bộ Tài chính </w:t>
              <w:t xml:space="preserve"> (Lệ phí vào cảng biển)</w:t>
            </w:r>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tc>
        <w:tc>
          <w:p/>
          <w:p>
            <w:pPr>
              <w:spacing w:after="0" w:before="0" w:lineRule="auto" w:line="276"/>
              <w:jc w:val="left"/>
            </w:pPr>
            <w:r>
              <w:rPr>
                <w:rFonts w:ascii="Times New Roman" w:hAnsi="Times New Roman" w:cs="Times New Roman" w:eastAsia="Times New Roman"/>
                <w:b w:val="false"/>
                <w:sz w:val="26"/>
              </w:rPr>
              <w:t>Thời hạn làm thủ tục cho tàu thuyền nhập cảnh cảng dầu khí ngoài khơi và hoạt động trong vùng biển Việt Nam được coi là kết thúc khi đại lý của chủ tàu nộp cho các cơ quan quản lý nhà nước chuyên ngành đầy đủ hồ sơ, giấy tờ theo quy định tại trụ sở Cảng vụ hàng hải/Cảng vụ đường thủy nội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Thông tư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Lệ phí : theo quy định tại Điều 11 Thông tư số 261/2016/TT-BTC ngày 14/11/2016 của Bộ trưởng Bộ Tài chính </w:t>
              <w:t xml:space="preserve"> (Lệ phí vào cảng biển)</w:t>
            </w:r>
          </w:p>
        </w:tc>
        <w:tc>
          <w:p/>
          <w:p>
            <w:pPr>
              <w:spacing w:after="0" w:before="0" w:lineRule="auto" w:line="276"/>
              <w:jc w:val="left"/>
            </w:pPr>
            <w:r>
              <w:rPr>
                <w:rFonts w:ascii="Times New Roman" w:hAnsi="Times New Roman" w:cs="Times New Roman" w:eastAsia="Times New Roman"/>
                <w:b w:val="false"/>
                <w:sz w:val="26"/>
              </w:rPr>
              <w:t>Thời hạn làm thủ tục cho tàu thuyền nhập cảnh cảng dầu khí ngoài khơi và hoạt động trong vùng biển Việt Nam được coi là kết thúc khi đại lý của chủ tàu nộp cho các cơ quan quản lý nhà nước chuyên ngành đầy đủ hồ sơ, giấy tờ theo quy định tại trụ sở Cảng vụ hàng hải/Cảng vụ đường thủy nội địa.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Các giấy tờ nộp trực tiếp hoặc gửi bằng fax hoặc thư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an ninh tàu biển: đối với tàu biển chở hàng có tổng dung tích từ 500 trở lên, tàu chở khách và giàn khoan di động ngoài khơi hoạt động tuyến quốc tế</w:t>
            </w:r>
          </w:p>
        </w:tc>
        <w:tc>
          <w:p/>
          <w:p>
            <w:pPr>
              <w:spacing w:after="0" w:before="0" w:lineRule="auto" w:line="276"/>
              <w:jc w:val="left"/>
            </w:pPr>
            <w:r>
              <w:rPr>
                <w:rFonts w:ascii="Times New Roman" w:hAnsi="Times New Roman" w:cs="Times New Roman" w:eastAsia="Times New Roman"/>
                <w:b w:val="false"/>
                <w:sz w:val="26"/>
              </w:rPr>
              <w:t>MauBankhaianninhtaubien.docx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tàu đến cảng biển (theo mẫu Bản khai chung)</w:t>
            </w:r>
          </w:p>
        </w:tc>
        <w:tc>
          <w:p/>
          <w:p>
            <w:pPr>
              <w:spacing w:after="0" w:before="0" w:lineRule="auto" w:line="276"/>
              <w:jc w:val="left"/>
            </w:pPr>
            <w:r>
              <w:rPr>
                <w:rFonts w:ascii="Times New Roman" w:hAnsi="Times New Roman" w:cs="Times New Roman" w:eastAsia="Times New Roman"/>
                <w:b w:val="false"/>
                <w:sz w:val="26"/>
              </w:rPr>
              <w:t>MauBankhaichung.docx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báo tàu đến (nếu có thay đổi thời gian đến và thông tin khác theo quy định)</w:t>
            </w:r>
          </w:p>
        </w:tc>
        <w:tc>
          <w:p/>
          <w:p>
            <w:pPr>
              <w:spacing w:after="0" w:before="0" w:lineRule="auto" w:line="276"/>
              <w:jc w:val="left"/>
            </w:pPr>
            <w:r>
              <w:rPr>
                <w:rFonts w:ascii="Times New Roman" w:hAnsi="Times New Roman" w:cs="Times New Roman" w:eastAsia="Times New Roman"/>
                <w:b w:val="false"/>
                <w:sz w:val="26"/>
              </w:rPr>
              <w:t>MauXacbaotauencang.docx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thuyền viên.</w:t>
            </w:r>
          </w:p>
        </w:tc>
        <w:tc>
          <w:p/>
          <w:p>
            <w:pPr>
              <w:spacing w:after="0" w:before="0" w:lineRule="auto" w:line="276"/>
              <w:jc w:val="left"/>
            </w:pPr>
            <w:r>
              <w:rPr>
                <w:rFonts w:ascii="Times New Roman" w:hAnsi="Times New Roman" w:cs="Times New Roman" w:eastAsia="Times New Roman"/>
                <w:b w:val="false"/>
                <w:sz w:val="26"/>
              </w:rPr>
              <w:t>MauDanhsachthuyenvien.docx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Các giấy tờ phải nộp (bản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Nộp cho Cảng vụ hàng hải/Cảng vụ đường thủy nội địa: Bản khai chung theo mẫu, Danh sách thuyền viên theo mẫu, Danh sách hành khách (nếu có) theo mẫu, Bản khai hàng hóa nguy hiểm (nếu có) theo mẫu, Giấy phép rời cảng</w:t>
            </w:r>
          </w:p>
        </w:tc>
        <w:tc>
          <w:p/>
          <w:p>
            <w:pPr>
              <w:spacing w:after="0" w:before="0" w:lineRule="auto" w:line="276"/>
              <w:jc w:val="left"/>
            </w:pPr>
            <w:r>
              <w:rPr>
                <w:rFonts w:ascii="Times New Roman" w:hAnsi="Times New Roman" w:cs="Times New Roman" w:eastAsia="Times New Roman"/>
                <w:b w:val="false"/>
                <w:sz w:val="26"/>
              </w:rPr>
              <w:t>MauDanhsachthuyenvien.docx</w:t>
            </w:r>
          </w:p>
          <w:p>
            <w:pPr>
              <w:spacing w:after="0" w:before="0" w:lineRule="auto" w:line="276"/>
              <w:jc w:val="left"/>
            </w:pPr>
            <w:r>
              <w:rPr>
                <w:rFonts w:ascii="Times New Roman" w:hAnsi="Times New Roman" w:cs="Times New Roman" w:eastAsia="Times New Roman"/>
                <w:b w:val="false"/>
                <w:sz w:val="26"/>
              </w:rPr>
              <w:t>MauBankhaichung.docx</w:t>
            </w:r>
          </w:p>
          <w:p>
            <w:pPr>
              <w:spacing w:after="0" w:before="0" w:lineRule="auto" w:line="276"/>
              <w:jc w:val="left"/>
            </w:pPr>
            <w:r>
              <w:rPr>
                <w:rFonts w:ascii="Times New Roman" w:hAnsi="Times New Roman" w:cs="Times New Roman" w:eastAsia="Times New Roman"/>
                <w:b w:val="false"/>
                <w:sz w:val="26"/>
              </w:rPr>
              <w:t>MauDanhsachhanhkhach.docx</w:t>
            </w:r>
          </w:p>
          <w:p>
            <w:pPr>
              <w:spacing w:after="0" w:before="0" w:lineRule="auto" w:line="276"/>
              <w:jc w:val="left"/>
            </w:pPr>
            <w:r>
              <w:rPr>
                <w:rFonts w:ascii="Times New Roman" w:hAnsi="Times New Roman" w:cs="Times New Roman" w:eastAsia="Times New Roman"/>
                <w:b w:val="false"/>
                <w:sz w:val="26"/>
              </w:rPr>
              <w:t>MauBankhaihanghoanguyhiem.docx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Nộp cho Biên phòng cửa khẩu: Bản khai chung theo mẫu, Danh sách thuyền viên theo mẫu, Danh sách hành khách (nếu có) theo mẫu, Bản khai vũ khí và vật liệu nổ (nếu có) theo mẫu, Bản khai người trốn trên tàu (nếu có) theo mẫu</w:t>
            </w:r>
          </w:p>
        </w:tc>
        <w:tc>
          <w:p/>
          <w:p>
            <w:pPr>
              <w:spacing w:after="0" w:before="0" w:lineRule="auto" w:line="276"/>
              <w:jc w:val="left"/>
            </w:pPr>
            <w:r>
              <w:rPr>
                <w:rFonts w:ascii="Times New Roman" w:hAnsi="Times New Roman" w:cs="Times New Roman" w:eastAsia="Times New Roman"/>
                <w:b w:val="false"/>
                <w:sz w:val="26"/>
              </w:rPr>
              <w:t>MauBankhaichung.docx</w:t>
            </w:r>
          </w:p>
          <w:p>
            <w:pPr>
              <w:spacing w:after="0" w:before="0" w:lineRule="auto" w:line="276"/>
              <w:jc w:val="left"/>
            </w:pPr>
            <w:r>
              <w:rPr>
                <w:rFonts w:ascii="Times New Roman" w:hAnsi="Times New Roman" w:cs="Times New Roman" w:eastAsia="Times New Roman"/>
                <w:b w:val="false"/>
                <w:sz w:val="26"/>
              </w:rPr>
              <w:t>MauDanhsachthuyenvien.docx</w:t>
            </w:r>
          </w:p>
          <w:p>
            <w:pPr>
              <w:spacing w:after="0" w:before="0" w:lineRule="auto" w:line="276"/>
              <w:jc w:val="left"/>
            </w:pPr>
            <w:r>
              <w:rPr>
                <w:rFonts w:ascii="Times New Roman" w:hAnsi="Times New Roman" w:cs="Times New Roman" w:eastAsia="Times New Roman"/>
                <w:b w:val="false"/>
                <w:sz w:val="26"/>
              </w:rPr>
              <w:t>MauDanhsachhanhkhach.docx</w:t>
            </w:r>
          </w:p>
          <w:p>
            <w:pPr>
              <w:spacing w:after="0" w:before="0" w:lineRule="auto" w:line="276"/>
              <w:jc w:val="left"/>
            </w:pPr>
            <w:r>
              <w:rPr>
                <w:rFonts w:ascii="Times New Roman" w:hAnsi="Times New Roman" w:cs="Times New Roman" w:eastAsia="Times New Roman"/>
                <w:b w:val="false"/>
                <w:sz w:val="26"/>
              </w:rPr>
              <w:t>MauBankhaivukhivavatlieuno.docx</w:t>
            </w:r>
          </w:p>
          <w:p>
            <w:pPr>
              <w:spacing w:after="0" w:before="0" w:lineRule="auto" w:line="276"/>
              <w:jc w:val="left"/>
            </w:pPr>
            <w:r>
              <w:rPr>
                <w:rFonts w:ascii="Times New Roman" w:hAnsi="Times New Roman" w:cs="Times New Roman" w:eastAsia="Times New Roman"/>
                <w:b w:val="false"/>
                <w:sz w:val="26"/>
              </w:rPr>
              <w:t>MauBankhainguoitrontrentau.docx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Nộp cho Hải quan cửa khẩu: Bản khai chung theo mẫu, Danh sách thuyền viên theo mẫu, Danh sách hành khách (nếu có) theo mẫu, Bản khai hàng hóa (nếu có) theo mẫu, Bản khai thông tin về vận đơn thứ cấp (nếu có) theo mẫu, Bản khai hàng hóa nguy hiểm (nếu có) theo mẫu, Bản khai dự trữ của tàu theo mẫu, Bản khai hành lý phải nộp thuế, bị cấm hoặc hạn chế của hành khách, thuyền viên, người đi theo tàu (nếu có) theo mẫu</w:t>
            </w:r>
          </w:p>
        </w:tc>
        <w:tc>
          <w:p/>
          <w:p>
            <w:pPr>
              <w:spacing w:after="0" w:before="0" w:lineRule="auto" w:line="276"/>
              <w:jc w:val="left"/>
            </w:pPr>
            <w:r>
              <w:rPr>
                <w:rFonts w:ascii="Times New Roman" w:hAnsi="Times New Roman" w:cs="Times New Roman" w:eastAsia="Times New Roman"/>
                <w:b w:val="false"/>
                <w:sz w:val="26"/>
              </w:rPr>
              <w:t>MauDanhsachthuyenvien.docx</w:t>
            </w:r>
          </w:p>
          <w:p>
            <w:pPr>
              <w:spacing w:after="0" w:before="0" w:lineRule="auto" w:line="276"/>
              <w:jc w:val="left"/>
            </w:pPr>
            <w:r>
              <w:rPr>
                <w:rFonts w:ascii="Times New Roman" w:hAnsi="Times New Roman" w:cs="Times New Roman" w:eastAsia="Times New Roman"/>
                <w:b w:val="false"/>
                <w:sz w:val="26"/>
              </w:rPr>
              <w:t>MauBankhaihanghoa.docx</w:t>
            </w:r>
          </w:p>
          <w:p>
            <w:pPr>
              <w:spacing w:after="0" w:before="0" w:lineRule="auto" w:line="276"/>
              <w:jc w:val="left"/>
            </w:pPr>
            <w:r>
              <w:rPr>
                <w:rFonts w:ascii="Times New Roman" w:hAnsi="Times New Roman" w:cs="Times New Roman" w:eastAsia="Times New Roman"/>
                <w:b w:val="false"/>
                <w:sz w:val="26"/>
              </w:rPr>
              <w:t>MauBankhaithongtinvevanonthucap.docx</w:t>
            </w:r>
          </w:p>
          <w:p>
            <w:pPr>
              <w:spacing w:after="0" w:before="0" w:lineRule="auto" w:line="276"/>
              <w:jc w:val="left"/>
            </w:pPr>
            <w:r>
              <w:rPr>
                <w:rFonts w:ascii="Times New Roman" w:hAnsi="Times New Roman" w:cs="Times New Roman" w:eastAsia="Times New Roman"/>
                <w:b w:val="false"/>
                <w:sz w:val="26"/>
              </w:rPr>
              <w:t>MauBankhaichung.docx</w:t>
            </w:r>
          </w:p>
          <w:p>
            <w:pPr>
              <w:spacing w:after="0" w:before="0" w:lineRule="auto" w:line="276"/>
              <w:jc w:val="left"/>
            </w:pPr>
            <w:r>
              <w:rPr>
                <w:rFonts w:ascii="Times New Roman" w:hAnsi="Times New Roman" w:cs="Times New Roman" w:eastAsia="Times New Roman"/>
                <w:b w:val="false"/>
                <w:sz w:val="26"/>
              </w:rPr>
              <w:t>MauDanhsachhanhkhach.docx</w:t>
            </w:r>
          </w:p>
          <w:p>
            <w:pPr>
              <w:spacing w:after="0" w:before="0" w:lineRule="auto" w:line="276"/>
              <w:jc w:val="left"/>
            </w:pPr>
            <w:r>
              <w:rPr>
                <w:rFonts w:ascii="Times New Roman" w:hAnsi="Times New Roman" w:cs="Times New Roman" w:eastAsia="Times New Roman"/>
                <w:b w:val="false"/>
                <w:sz w:val="26"/>
              </w:rPr>
              <w:t>MauBankhaihanghoanguyhiem.docx</w:t>
            </w:r>
          </w:p>
          <w:p>
            <w:pPr>
              <w:spacing w:after="0" w:before="0" w:lineRule="auto" w:line="276"/>
              <w:jc w:val="left"/>
            </w:pPr>
            <w:r>
              <w:rPr>
                <w:rFonts w:ascii="Times New Roman" w:hAnsi="Times New Roman" w:cs="Times New Roman" w:eastAsia="Times New Roman"/>
                <w:b w:val="false"/>
                <w:sz w:val="26"/>
              </w:rPr>
              <w:t>MauBankhaidutrucuatau.docx</w:t>
            </w:r>
          </w:p>
          <w:p>
            <w:pPr>
              <w:spacing w:after="0" w:before="0" w:lineRule="auto" w:line="276"/>
              <w:jc w:val="left"/>
            </w:pPr>
            <w:r>
              <w:rPr>
                <w:rFonts w:ascii="Times New Roman" w:hAnsi="Times New Roman" w:cs="Times New Roman" w:eastAsia="Times New Roman"/>
                <w:b w:val="false"/>
                <w:sz w:val="26"/>
              </w:rPr>
              <w:t>MauBankhaihanhlythuyenvien.docx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Nộp cho Kiểm dịch y tế: Giấy khai báo y tế hàng hải theo mẫu, Giấy khai báo y tế, thi thể, hài cốt, tro cốt (nếu có) theo mẫu, Giấy khai báo y tế mẫu vi sinh y học, sản phẩm sinh học, mô, bộ phận cơ thể người (nếu có) theo mẫu</w:t>
            </w:r>
          </w:p>
        </w:tc>
        <w:tc>
          <w:p/>
          <w:p>
            <w:pPr>
              <w:spacing w:after="0" w:before="0" w:lineRule="auto" w:line="276"/>
              <w:jc w:val="left"/>
            </w:pPr>
            <w:r>
              <w:rPr>
                <w:rFonts w:ascii="Times New Roman" w:hAnsi="Times New Roman" w:cs="Times New Roman" w:eastAsia="Times New Roman"/>
                <w:b w:val="false"/>
                <w:sz w:val="26"/>
              </w:rPr>
              <w:t>MauGiaykhaibaoytehanghai.docx</w:t>
            </w:r>
          </w:p>
          <w:p>
            <w:pPr>
              <w:spacing w:after="0" w:before="0" w:lineRule="auto" w:line="276"/>
              <w:jc w:val="left"/>
            </w:pPr>
            <w:r>
              <w:rPr>
                <w:rFonts w:ascii="Times New Roman" w:hAnsi="Times New Roman" w:cs="Times New Roman" w:eastAsia="Times New Roman"/>
                <w:b w:val="false"/>
                <w:sz w:val="26"/>
              </w:rPr>
              <w:t>MauGiaykhaibaoytethithe.docx</w:t>
            </w:r>
          </w:p>
          <w:p>
            <w:pPr>
              <w:spacing w:after="0" w:before="0" w:lineRule="auto" w:line="276"/>
              <w:jc w:val="left"/>
            </w:pPr>
            <w:r>
              <w:rPr>
                <w:rFonts w:ascii="Times New Roman" w:hAnsi="Times New Roman" w:cs="Times New Roman" w:eastAsia="Times New Roman"/>
                <w:b w:val="false"/>
                <w:sz w:val="26"/>
              </w:rPr>
              <w:t>MauGiaykhaibaoytemauvisinhyhoc.docx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Nộp cho Kiểm dịch thực vật: Bản khai kiểm dịch thực vật (nếu có) theo mẫu</w:t>
            </w:r>
          </w:p>
        </w:tc>
        <w:tc>
          <w:p/>
          <w:p>
            <w:pPr>
              <w:spacing w:after="0" w:before="0" w:lineRule="auto" w:line="276"/>
              <w:jc w:val="left"/>
            </w:pPr>
            <w:r>
              <w:rPr>
                <w:rFonts w:ascii="Times New Roman" w:hAnsi="Times New Roman" w:cs="Times New Roman" w:eastAsia="Times New Roman"/>
                <w:b w:val="false"/>
                <w:sz w:val="26"/>
              </w:rPr>
              <w:t>MauBankhaikiemdichthucvat.docx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Nộp cho Kiểm dịch động vật: Bản khai kiểm dịch động vật (nếu có) theo mẫu</w:t>
            </w:r>
          </w:p>
        </w:tc>
        <w:tc>
          <w:p/>
          <w:p>
            <w:pPr>
              <w:spacing w:after="0" w:before="0" w:lineRule="auto" w:line="276"/>
              <w:jc w:val="left"/>
            </w:pPr>
            <w:r>
              <w:rPr>
                <w:rFonts w:ascii="Times New Roman" w:hAnsi="Times New Roman" w:cs="Times New Roman" w:eastAsia="Times New Roman"/>
                <w:b w:val="false"/>
                <w:sz w:val="26"/>
              </w:rPr>
              <w:t>MauBankhaikiemdichongvat.docx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(nộp bản sao có chữ ký xác nhận của thuyền trưởng và đóng dấu của tàu)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Trình Cảng vụ hàng hải/Cảng vụ đường thủy nội địa: Giấy chứng nhận đăng ký tàu biển, các giấy chứng nhận về an toàn kỹ thuật của tàu theo quy định, Chứng chỉ chuyên môn của thuyền viên, Sổ thuyền viên, Giấy chứng nhận bảo hiểm hoặc bảo đảm tài chính về trách nhiệm dân sự đối với tổn thất ô nhiễm dầu nhiên liệu, Giấy chứng nhận bảo hiểm trách nhiệm dân sự của chủ tàu về ô nhiễm môi trường đối với tàu vận chuyển dầu mỏ, chế phẩm từ dầu mỏ hoặc các hàng hóa nguy hiểm khác, Giấy chứng nhận an ninh tàu biển theo quy định, Văn bản chấp thuận cho tàu nước ngoài hoạt động đặc thù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Trình Biên phòng cửa khẩu:Hộ chiếu hoặc giấy tờ có giá trị đi lại quốc tế của thuyền viên,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Trình Kiểm dịch y tế: Phiếu tiêm chủng quốc tế của thuyền viên, Giấy chứng nhận kiểm dịch y tế, Giấy chứng nhận miễn xử lý vệ sinh tàu thuyền/Chứng nhận xử lý vệ sinh tàu thuyền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Trình Kiểm dịch thực vật: Giấy chứng nhận kiểm dịch thực vật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Trình Kiểm dịch động vật: Giấy chứng nhận kiểm dịch động vật của nước xuất hàng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Khi cơ quan quản lý nhà nước chuyên ngành liên quan yêu cầu trình:Hộ chiếu, Phiếu tiêm chủng quốc tế của hành khách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Cảng vụ hàng hải, Biên phòng cửa khâu, Cơ quan kiểm dịch thực vật, Văn phòng đại diện Cảng vụ Hàng hải, Cơ quan kiểm dịch động vật cửa khẩu,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Cảng vụ hàng hải, Văn phòng đại diện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Biên phòng cửa khâu, Cơ quan kiểm dịch thực vật, Cơ quan kiểm dịch động vật cửa khẩu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 hoạch điều động tàu thuyền.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261/2016/TT-BTC</w:t>
            </w:r>
          </w:p>
        </w:tc>
        <w:tc>
          <w:p/>
          <w:p>
            <w:pPr>
              <w:spacing w:after="0" w:before="0" w:lineRule="auto" w:line="276"/>
              <w:jc w:val="left"/>
            </w:pPr>
            <w:r>
              <w:rPr>
                <w:rFonts w:ascii="Times New Roman" w:hAnsi="Times New Roman" w:cs="Times New Roman" w:eastAsia="Times New Roman"/>
                <w:b w:val="false"/>
                <w:sz w:val="26"/>
              </w:rPr>
              <w:t>Quy định về phí, lệ phí hàng hải và biểu mức thu phí, lệ phí hàng hải</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74/2023/NĐ-CP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liên quan đến phân cấp giải quyết thủ tục hành chính trong lĩnh vực hàng hải (có hiệu lực từ ngày 27/11/2023)</w:t>
            </w:r>
          </w:p>
        </w:tc>
        <w:tc>
          <w:p/>
          <w:p>
            <w:pPr>
              <w:spacing w:after="0" w:before="0" w:lineRule="auto" w:line="276"/>
              <w:jc w:val="left"/>
            </w:pPr>
            <w:r>
              <w:rPr>
                <w:rFonts w:ascii="Times New Roman" w:hAnsi="Times New Roman" w:cs="Times New Roman" w:eastAsia="Times New Roman"/>
                <w:b w:val="false"/>
                <w:sz w:val="26"/>
              </w:rPr>
              <w:t>11-10-2023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90/2019/TT-BTC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w:t>
            </w:r>
          </w:p>
        </w:tc>
        <w:tc>
          <w:p/>
          <w:p>
            <w:pPr>
              <w:spacing w:after="0" w:before="0" w:lineRule="auto" w:line="276"/>
              <w:jc w:val="left"/>
            </w:pPr>
            <w:r>
              <w:rPr>
                <w:rFonts w:ascii="Times New Roman" w:hAnsi="Times New Roman" w:cs="Times New Roman" w:eastAsia="Times New Roman"/>
                <w:b w:val="false"/>
                <w:sz w:val="26"/>
              </w:rPr>
              <w:t>31-12-2019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74/2021/TT-BTC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261/2016/TT-BTC ngày 14 tháng 11 năm 2016 quy định về phí, lệ phí hàng hải và biểu mức thu phí, lệ phí hàng hải</w:t>
            </w:r>
          </w:p>
        </w:tc>
        <w:tc>
          <w:p/>
          <w:p>
            <w:pPr>
              <w:spacing w:after="0" w:before="0" w:lineRule="auto" w:line="276"/>
              <w:jc w:val="left"/>
            </w:pPr>
            <w:r>
              <w:rPr>
                <w:rFonts w:ascii="Times New Roman" w:hAnsi="Times New Roman" w:cs="Times New Roman" w:eastAsia="Times New Roman"/>
                <w:b w:val="false"/>
                <w:sz w:val="26"/>
              </w:rPr>
              <w:t>27-08-2021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33/2025/NĐ-CP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Xây dựng.</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hàng hải</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Tất cả các loại tàu thuyền chỉ được phép nhập cảnh khi có đủ điều kiện an toàn hàng hải, an ninh hàng hải, phòng ngừa ô nhiễm môi trường và các điều kiện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2026-05-21T16:46:20Z</dcterms:created>
  <dc:creator>Apache POI</dc:creator>
</cp:coreProperties>
</file>